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5C7708" w14:textId="77777777" w:rsidR="000903E8" w:rsidRDefault="000903E8" w:rsidP="006E7956">
      <w:pPr>
        <w:autoSpaceDE w:val="0"/>
        <w:autoSpaceDN w:val="0"/>
        <w:adjustRightInd w:val="0"/>
        <w:spacing w:line="360" w:lineRule="auto"/>
        <w:rPr>
          <w:b/>
        </w:rPr>
      </w:pPr>
      <w:r w:rsidRPr="006E7956">
        <w:rPr>
          <w:b/>
        </w:rPr>
        <w:t>Aportación de la función pulmonar en las enfermedades neuromusculares</w:t>
      </w:r>
    </w:p>
    <w:p w14:paraId="264F6C03" w14:textId="77777777" w:rsidR="006E7956" w:rsidRDefault="006E7956" w:rsidP="006E7956">
      <w:pPr>
        <w:autoSpaceDE w:val="0"/>
        <w:autoSpaceDN w:val="0"/>
        <w:adjustRightInd w:val="0"/>
        <w:spacing w:line="360" w:lineRule="auto"/>
      </w:pPr>
      <w:r>
        <w:t>Olaia Sardón Prado.</w:t>
      </w:r>
    </w:p>
    <w:p w14:paraId="4FEF7D8A" w14:textId="77777777" w:rsidR="006E7956" w:rsidRDefault="006E7956" w:rsidP="006E7956">
      <w:pPr>
        <w:autoSpaceDE w:val="0"/>
        <w:autoSpaceDN w:val="0"/>
        <w:adjustRightInd w:val="0"/>
        <w:spacing w:line="360" w:lineRule="auto"/>
      </w:pPr>
      <w:r>
        <w:t>Sección de Neumología Infantil. Hospital Universitario Donostia. San Sebastián.</w:t>
      </w:r>
    </w:p>
    <w:p w14:paraId="31AFF7CB" w14:textId="77777777" w:rsidR="006E7956" w:rsidRDefault="006E7956" w:rsidP="006E7956">
      <w:pPr>
        <w:pBdr>
          <w:bottom w:val="single" w:sz="6" w:space="1" w:color="auto"/>
        </w:pBdr>
        <w:autoSpaceDE w:val="0"/>
        <w:autoSpaceDN w:val="0"/>
        <w:adjustRightInd w:val="0"/>
        <w:spacing w:line="360" w:lineRule="auto"/>
      </w:pPr>
    </w:p>
    <w:p w14:paraId="46C1E65C" w14:textId="77777777" w:rsidR="006E7956" w:rsidRPr="006E7956" w:rsidRDefault="006E7956" w:rsidP="006E7956">
      <w:pPr>
        <w:autoSpaceDE w:val="0"/>
        <w:autoSpaceDN w:val="0"/>
        <w:adjustRightInd w:val="0"/>
        <w:spacing w:line="360" w:lineRule="auto"/>
      </w:pPr>
    </w:p>
    <w:p w14:paraId="17AF396E" w14:textId="77777777" w:rsidR="000903E8" w:rsidRDefault="000903E8" w:rsidP="000903E8">
      <w:pPr>
        <w:autoSpaceDE w:val="0"/>
        <w:autoSpaceDN w:val="0"/>
        <w:adjustRightInd w:val="0"/>
        <w:spacing w:line="360" w:lineRule="auto"/>
        <w:jc w:val="center"/>
        <w:rPr>
          <w:b/>
          <w:u w:val="single"/>
        </w:rPr>
      </w:pPr>
    </w:p>
    <w:p w14:paraId="383AFAEA" w14:textId="77777777" w:rsidR="00FC0DB9" w:rsidRDefault="000903E8" w:rsidP="000903E8">
      <w:pPr>
        <w:spacing w:line="360" w:lineRule="auto"/>
        <w:jc w:val="both"/>
      </w:pPr>
      <w:r>
        <w:t>Las enfermedades neuromusculares</w:t>
      </w:r>
      <w:r w:rsidRPr="000903E8">
        <w:t xml:space="preserve"> pueden comprometer el intercambio gaseoso, la función de bomba del sistema respiratorio, el mantenimiento del tono muscular de la vía aérea superior, la protección de la vía aérea</w:t>
      </w:r>
      <w:r w:rsidR="007D00C5">
        <w:t xml:space="preserve"> por incompetencia orofarí</w:t>
      </w:r>
      <w:r w:rsidRPr="000903E8">
        <w:t xml:space="preserve">ngea, la eficiencia del aclaramiento mucociliar y el soporte espinal. </w:t>
      </w:r>
    </w:p>
    <w:p w14:paraId="49B8C790" w14:textId="77777777" w:rsidR="000903E8" w:rsidRDefault="000903E8" w:rsidP="000903E8">
      <w:pPr>
        <w:spacing w:line="360" w:lineRule="auto"/>
        <w:jc w:val="both"/>
      </w:pPr>
      <w:r w:rsidRPr="000903E8">
        <w:t>La edad de inicio de los síntomas respiratorios varía dependiendo de la enfermedad de base, de la precocidad de la debilidad muscular o del grado de afectación de la caja torácica.</w:t>
      </w:r>
    </w:p>
    <w:p w14:paraId="50CCB002" w14:textId="77777777" w:rsidR="000903E8" w:rsidRPr="000903E8" w:rsidRDefault="000903E8" w:rsidP="00FC0DB9">
      <w:pPr>
        <w:spacing w:line="360" w:lineRule="auto"/>
        <w:jc w:val="both"/>
        <w:rPr>
          <w:b/>
        </w:rPr>
      </w:pPr>
      <w:r w:rsidRPr="000903E8">
        <w:t>Durante el manejo de estos pacientes es muy importante, tanto en términos de calidad de vida como de pronóstico vital, la detección temprana de la existencia de hipoventilación nocturna (HN) y de insuficiencia respiratoria crónica</w:t>
      </w:r>
      <w:r w:rsidR="007D00C5">
        <w:t>,</w:t>
      </w:r>
      <w:r w:rsidRPr="000903E8">
        <w:t xml:space="preserve"> y el inicio precoz de un tratamiento adecuado.</w:t>
      </w:r>
      <w:r w:rsidRPr="000903E8">
        <w:rPr>
          <w:b/>
        </w:rPr>
        <w:t xml:space="preserve"> </w:t>
      </w:r>
    </w:p>
    <w:p w14:paraId="57892E9E" w14:textId="77777777" w:rsidR="00FC0DB9" w:rsidRDefault="00FC0DB9" w:rsidP="00FC0DB9">
      <w:pPr>
        <w:spacing w:line="360" w:lineRule="auto"/>
        <w:jc w:val="both"/>
      </w:pPr>
      <w:r>
        <w:rPr>
          <w:b/>
        </w:rPr>
        <w:t xml:space="preserve">A </w:t>
      </w:r>
      <w:r>
        <w:t>nivel respiratorio</w:t>
      </w:r>
      <w:r w:rsidR="007D00C5">
        <w:t>,</w:t>
      </w:r>
      <w:r>
        <w:t xml:space="preserve"> l</w:t>
      </w:r>
      <w:r w:rsidR="000903E8" w:rsidRPr="00233D86">
        <w:t>a pérdida de fuerza muscular en los pacientes neuromusculares produce una disminución de la capacidad funcional respiratoria, lo cual unido a deformidades raquídeas y de la caja torácica, originan un síndrome restrictivo, pudiendo evolucionar a una insuficiencia respiratoria con distintos grados de severidad</w:t>
      </w:r>
      <w:r w:rsidR="000903E8">
        <w:t>.</w:t>
      </w:r>
      <w:r w:rsidR="000903E8" w:rsidRPr="00233D86">
        <w:t xml:space="preserve"> La falta de fuerza de la musculatura inspiratoria produce un déficit de ventilación y la debilidad de la musculatura espiratoria, por su parte, impide una adecuada capacidad para realizar una tos eficaz, produciéndose en último término un acúmulo de secreciones difíciles de drenar, que producen finalmente importantes complicaciones respiratorias. En este sentido, el aclaramiento inefectivo de las secreciones puede desencadenar un fallo respiratorio agudo y la muerte, mientras que una intervención temprana que mejore el aclaramiento de la vía respiratoria reduce la incidencia de neumonías</w:t>
      </w:r>
      <w:bookmarkStart w:id="0" w:name="_Ref326076730"/>
      <w:r w:rsidR="000903E8" w:rsidRPr="00233D86">
        <w:t xml:space="preserve"> y disminuye las hospitalizaciones</w:t>
      </w:r>
      <w:bookmarkEnd w:id="0"/>
      <w:r>
        <w:t>.</w:t>
      </w:r>
    </w:p>
    <w:p w14:paraId="44CE40D6" w14:textId="77777777" w:rsidR="000903E8" w:rsidRDefault="000903E8" w:rsidP="000903E8">
      <w:pPr>
        <w:autoSpaceDE w:val="0"/>
        <w:autoSpaceDN w:val="0"/>
        <w:adjustRightInd w:val="0"/>
        <w:spacing w:line="360" w:lineRule="auto"/>
        <w:jc w:val="both"/>
      </w:pPr>
      <w:r>
        <w:t>Es importante destacar que los pacientes afectos de una enfermedad neuromuscular presentan poca sintomatología clínica a pesar de tener un déficit funcional moderado-severo medido por espirometría forzada.</w:t>
      </w:r>
      <w:r w:rsidRPr="00233D86">
        <w:t xml:space="preserve">  </w:t>
      </w:r>
      <w:r>
        <w:t xml:space="preserve">Por tanto, el seguimiento y la realización periódica de pruebas de función pulmonar </w:t>
      </w:r>
      <w:r w:rsidR="00915DC0">
        <w:t>es</w:t>
      </w:r>
      <w:r w:rsidR="0013485D">
        <w:t xml:space="preserve"> </w:t>
      </w:r>
      <w:r>
        <w:t>obligada para un d</w:t>
      </w:r>
      <w:r w:rsidRPr="00233D86">
        <w:t>iagnóstico y tratamiento precoz</w:t>
      </w:r>
      <w:r>
        <w:t xml:space="preserve"> de las complicaciones</w:t>
      </w:r>
      <w:r w:rsidRPr="00233D86">
        <w:t>.</w:t>
      </w:r>
    </w:p>
    <w:p w14:paraId="379A18A0" w14:textId="77777777" w:rsidR="00FC0DB9" w:rsidRPr="00FC0DB9" w:rsidRDefault="000658BC" w:rsidP="000903E8">
      <w:pPr>
        <w:autoSpaceDE w:val="0"/>
        <w:autoSpaceDN w:val="0"/>
        <w:adjustRightInd w:val="0"/>
        <w:spacing w:line="360" w:lineRule="auto"/>
        <w:jc w:val="both"/>
        <w:rPr>
          <w:b/>
        </w:rPr>
      </w:pPr>
      <w:r>
        <w:rPr>
          <w:b/>
        </w:rPr>
        <w:lastRenderedPageBreak/>
        <w:t xml:space="preserve">Espirometría </w:t>
      </w:r>
    </w:p>
    <w:p w14:paraId="2DAF8586" w14:textId="77777777" w:rsidR="00054DFA" w:rsidRDefault="00FC0DB9" w:rsidP="000903E8">
      <w:pPr>
        <w:autoSpaceDE w:val="0"/>
        <w:autoSpaceDN w:val="0"/>
        <w:adjustRightInd w:val="0"/>
        <w:spacing w:line="360" w:lineRule="auto"/>
        <w:jc w:val="both"/>
      </w:pPr>
      <w:r>
        <w:t xml:space="preserve">Los consensos internacionales recomiendan la realización de </w:t>
      </w:r>
      <w:r w:rsidR="00915DC0">
        <w:t>una</w:t>
      </w:r>
      <w:r w:rsidR="000658BC">
        <w:t xml:space="preserve"> </w:t>
      </w:r>
      <w:r>
        <w:t xml:space="preserve">espirometría forzada </w:t>
      </w:r>
      <w:r w:rsidR="00054DFA">
        <w:t xml:space="preserve">para valorar los volúmenes pulmonares y la función de las vías aéreas. </w:t>
      </w:r>
      <w:r w:rsidR="00106568">
        <w:t>Es la prueba más asequible y útil para la valoración de estos pacientes</w:t>
      </w:r>
      <w:r w:rsidR="000658BC">
        <w:t xml:space="preserve"> y puede empezar a realizarse en cuanto la colaboración del paciente sea posible, en general a partir de los 3-4 años de edad.</w:t>
      </w:r>
    </w:p>
    <w:p w14:paraId="41A21F86" w14:textId="77777777" w:rsidR="00106568" w:rsidRDefault="00106568" w:rsidP="000903E8">
      <w:pPr>
        <w:autoSpaceDE w:val="0"/>
        <w:autoSpaceDN w:val="0"/>
        <w:adjustRightInd w:val="0"/>
        <w:spacing w:line="360" w:lineRule="auto"/>
        <w:jc w:val="both"/>
      </w:pPr>
      <w:r>
        <w:t xml:space="preserve">A nivel técnico debemos asegurarnos de que se realice un correcto sellado de la boquilla para evitar fugas y en aquellos </w:t>
      </w:r>
      <w:r w:rsidR="000658BC">
        <w:t xml:space="preserve">pacientes </w:t>
      </w:r>
      <w:r>
        <w:t xml:space="preserve">con escoliosis puede usarse la envergadura de los brazos en vez de la talla. </w:t>
      </w:r>
    </w:p>
    <w:p w14:paraId="03A03A37" w14:textId="25961AF4" w:rsidR="00054DFA" w:rsidRDefault="00054DFA" w:rsidP="000903E8">
      <w:pPr>
        <w:autoSpaceDE w:val="0"/>
        <w:autoSpaceDN w:val="0"/>
        <w:adjustRightInd w:val="0"/>
        <w:spacing w:line="360" w:lineRule="auto"/>
        <w:jc w:val="both"/>
      </w:pPr>
      <w:r>
        <w:t xml:space="preserve">En general, se recomienda la realización </w:t>
      </w:r>
      <w:r w:rsidR="007A49B3">
        <w:t>de espirometrías seriadas cada seis</w:t>
      </w:r>
      <w:r>
        <w:t xml:space="preserve"> meses cuando existe disminución de la FVC y si ésta lo hace por debajo de</w:t>
      </w:r>
      <w:r w:rsidR="000658BC">
        <w:t>l</w:t>
      </w:r>
      <w:r w:rsidR="007A49B3">
        <w:t xml:space="preserve"> 60% cada tres</w:t>
      </w:r>
      <w:r>
        <w:t xml:space="preserve"> meses.</w:t>
      </w:r>
      <w:r w:rsidR="000658BC">
        <w:t xml:space="preserve"> Suele realizarse espirometría forzada y lenta para la determinación de la capacidad vital</w:t>
      </w:r>
      <w:r w:rsidR="00544A84">
        <w:t xml:space="preserve"> (CV)</w:t>
      </w:r>
      <w:r w:rsidR="000658BC">
        <w:t xml:space="preserve">. </w:t>
      </w:r>
    </w:p>
    <w:p w14:paraId="34E5FDFD" w14:textId="77777777" w:rsidR="00544A84" w:rsidRDefault="000658BC" w:rsidP="000903E8">
      <w:pPr>
        <w:autoSpaceDE w:val="0"/>
        <w:autoSpaceDN w:val="0"/>
        <w:adjustRightInd w:val="0"/>
        <w:spacing w:line="360" w:lineRule="auto"/>
        <w:jc w:val="both"/>
      </w:pPr>
      <w:r>
        <w:t xml:space="preserve">La espirometría </w:t>
      </w:r>
      <w:r w:rsidR="00FC0DB9">
        <w:t xml:space="preserve">muestra en general un patrón </w:t>
      </w:r>
      <w:r w:rsidR="00915DC0">
        <w:t xml:space="preserve">funcional </w:t>
      </w:r>
      <w:r w:rsidR="00FC0DB9">
        <w:t>restrictivo con disminució</w:t>
      </w:r>
      <w:r w:rsidR="00544A84">
        <w:t xml:space="preserve">n de la CV </w:t>
      </w:r>
      <w:r w:rsidR="00FC0DB9">
        <w:t xml:space="preserve">y la </w:t>
      </w:r>
      <w:r w:rsidR="00544A84">
        <w:t>FVC</w:t>
      </w:r>
      <w:r w:rsidR="00FC0DB9">
        <w:t xml:space="preserve"> preservando relativamente el volumen espiratorio forzado en el primer segundo (FEV</w:t>
      </w:r>
      <w:r w:rsidR="00FC0DB9" w:rsidRPr="00FC0DB9">
        <w:rPr>
          <w:vertAlign w:val="subscript"/>
        </w:rPr>
        <w:t>1</w:t>
      </w:r>
      <w:r w:rsidR="00FC0DB9">
        <w:t>) y el índice FEV</w:t>
      </w:r>
      <w:r w:rsidR="00FC0DB9" w:rsidRPr="00FC0DB9">
        <w:rPr>
          <w:vertAlign w:val="subscript"/>
        </w:rPr>
        <w:t>1</w:t>
      </w:r>
      <w:r w:rsidR="00FC0DB9">
        <w:t xml:space="preserve">/FVC. </w:t>
      </w:r>
      <w:r w:rsidR="00544A84">
        <w:t>La morfología de la curva es en general</w:t>
      </w:r>
      <w:r w:rsidR="005F49A3">
        <w:t xml:space="preserve"> de aspecto redondeado o convexo</w:t>
      </w:r>
      <w:r w:rsidR="00915DC0">
        <w:t xml:space="preserve"> (figura 1)</w:t>
      </w:r>
      <w:r w:rsidR="00544A84">
        <w:t xml:space="preserve">. </w:t>
      </w:r>
      <w:r w:rsidR="00FC0DB9">
        <w:t>El descenso de los volúmenes pulmonares es de un 6-10,7% por año a partir de los 10 años de edad y el de la CV es de unos 200 ml al año.</w:t>
      </w:r>
    </w:p>
    <w:p w14:paraId="764D9A9D" w14:textId="77777777" w:rsidR="00B373CA" w:rsidRDefault="00B373CA" w:rsidP="000903E8">
      <w:pPr>
        <w:autoSpaceDE w:val="0"/>
        <w:autoSpaceDN w:val="0"/>
        <w:adjustRightInd w:val="0"/>
        <w:spacing w:line="360" w:lineRule="auto"/>
        <w:jc w:val="both"/>
      </w:pPr>
      <w:r>
        <w:t xml:space="preserve">En pacientes crónicos, puede existir una disminución de la CV también por la reducción de la complianza pulmonar y de la caja torácica y por atelectasias pulmonares. Además, la escoliosis incrementará de forma significativa la enfermedad restrictiva. </w:t>
      </w:r>
    </w:p>
    <w:p w14:paraId="1A3172B9" w14:textId="77777777" w:rsidR="00B373CA" w:rsidRDefault="00B373CA" w:rsidP="000903E8">
      <w:pPr>
        <w:autoSpaceDE w:val="0"/>
        <w:autoSpaceDN w:val="0"/>
        <w:adjustRightInd w:val="0"/>
        <w:spacing w:line="360" w:lineRule="auto"/>
        <w:jc w:val="both"/>
      </w:pPr>
      <w:r>
        <w:t>En ocasiones, es difícil valorar si existe al mismo tiempo una enfermedad obstructiva asociada pues los flujos espiratorios están disminuidos más por la falta de esfuerzo muscular que por la obstrucción bronquial</w:t>
      </w:r>
      <w:r w:rsidR="00915DC0">
        <w:t xml:space="preserve"> (figura 1)</w:t>
      </w:r>
      <w:r>
        <w:t>. Además, el incremento del volumen residual en estos pacientes está más relacionado con la debilidad de los músculos espiratorios que con la existencia de atrapamiento aéreo debido a obstrucción bronquial</w:t>
      </w:r>
      <w:r w:rsidR="00AB6B9E">
        <w:t>.</w:t>
      </w:r>
    </w:p>
    <w:p w14:paraId="760AD615" w14:textId="082F36A6" w:rsidR="00FC0DB9" w:rsidRPr="00DA633A" w:rsidRDefault="00544A84" w:rsidP="000903E8">
      <w:pPr>
        <w:autoSpaceDE w:val="0"/>
        <w:autoSpaceDN w:val="0"/>
        <w:adjustRightInd w:val="0"/>
        <w:spacing w:line="360" w:lineRule="auto"/>
        <w:jc w:val="both"/>
      </w:pPr>
      <w:r>
        <w:t xml:space="preserve">Por otro lado, </w:t>
      </w:r>
      <w:r w:rsidR="00B373CA">
        <w:t>la espirometría resulta útil para la detección de la hipoventilación nocturna. E</w:t>
      </w:r>
      <w:r w:rsidR="00FC0DB9">
        <w:t>l mejor predictor es la FVC por lo que se recomienda realizar estudios de sueño de forma periódica</w:t>
      </w:r>
      <w:r w:rsidR="007A49B3">
        <w:t xml:space="preserve"> con valores de FVC inferiores </w:t>
      </w:r>
      <w:r w:rsidR="00FC0DB9">
        <w:t xml:space="preserve">a 60%. </w:t>
      </w:r>
      <w:r w:rsidR="00DA633A">
        <w:t>Así mismo, una CV inferior a 40-50% del predicho es indicativo de retención de CO</w:t>
      </w:r>
      <w:r w:rsidR="00DA633A" w:rsidRPr="00DA633A">
        <w:rPr>
          <w:vertAlign w:val="subscript"/>
        </w:rPr>
        <w:t>2</w:t>
      </w:r>
      <w:r w:rsidR="00DA633A">
        <w:t>.</w:t>
      </w:r>
    </w:p>
    <w:p w14:paraId="18C3CA49" w14:textId="1CCAADF8" w:rsidR="00DA633A" w:rsidRDefault="00DA633A" w:rsidP="000903E8">
      <w:pPr>
        <w:autoSpaceDE w:val="0"/>
        <w:autoSpaceDN w:val="0"/>
        <w:adjustRightInd w:val="0"/>
        <w:spacing w:line="360" w:lineRule="auto"/>
        <w:jc w:val="both"/>
      </w:pPr>
      <w:r>
        <w:t xml:space="preserve">Se ha descrito  </w:t>
      </w:r>
      <w:r w:rsidR="007A49B3">
        <w:t xml:space="preserve">que una FVC inferior a 1 litro o menor del </w:t>
      </w:r>
      <w:r>
        <w:t>80% del predicho es indi</w:t>
      </w:r>
      <w:r w:rsidR="007A49B3">
        <w:t xml:space="preserve">cativo de mal pronóstico en la distrofia muscular tipo </w:t>
      </w:r>
      <w:r>
        <w:t>Duchenne (DMD).</w:t>
      </w:r>
    </w:p>
    <w:p w14:paraId="2A34004D" w14:textId="38FEE89A" w:rsidR="0013485D" w:rsidRDefault="00DA633A" w:rsidP="000903E8">
      <w:pPr>
        <w:autoSpaceDE w:val="0"/>
        <w:autoSpaceDN w:val="0"/>
        <w:adjustRightInd w:val="0"/>
        <w:spacing w:line="360" w:lineRule="auto"/>
        <w:jc w:val="both"/>
      </w:pPr>
      <w:r>
        <w:lastRenderedPageBreak/>
        <w:t xml:space="preserve">En relación a la escoliosis, la espirometría forzada resulta útil para valorar la necesidad de iniciar ventilación mecánica no invasiva </w:t>
      </w:r>
      <w:r w:rsidR="00491814">
        <w:t xml:space="preserve">(VMNI) </w:t>
      </w:r>
      <w:r>
        <w:t xml:space="preserve">nocturna. </w:t>
      </w:r>
      <w:r w:rsidR="00491814">
        <w:t>En general es necesario iniciar la VMNI si la FVC es inferior a 20% de</w:t>
      </w:r>
      <w:r w:rsidR="007A49B3">
        <w:t>l valor teórico o es menor del</w:t>
      </w:r>
      <w:r w:rsidR="00491814">
        <w:t xml:space="preserve"> 50% en enfermedades  rápidamente progresivas. Tras una intervención quirúrgica por escoliosis</w:t>
      </w:r>
      <w:r w:rsidR="007A49B3">
        <w:t>,</w:t>
      </w:r>
      <w:r w:rsidR="00491814">
        <w:t xml:space="preserve"> la función pulmonar se estima que disminuye entre un 40-60% con un pico máximo en el tercer día postintervención. En este sentido, se recomienda realizar espirometría forzada preintervención para objetivar el riesgo quirúrgico y el porcentaje de complicaciones. En general, aquellos p</w:t>
      </w:r>
      <w:r w:rsidR="00491814" w:rsidRPr="00491814">
        <w:t xml:space="preserve">acientes con una FVC ≤ 40% </w:t>
      </w:r>
      <w:r w:rsidR="00491814">
        <w:t>y una CV &lt; 30-40%</w:t>
      </w:r>
      <w:r w:rsidR="00915DC0">
        <w:t xml:space="preserve"> </w:t>
      </w:r>
      <w:r w:rsidR="00491814" w:rsidRPr="00491814">
        <w:t xml:space="preserve">requieren una ventilación prequirúrgica y postquirúrgica prolongada. </w:t>
      </w:r>
      <w:r w:rsidR="00491814">
        <w:t>Si la FVC está entre 40 y 60%</w:t>
      </w:r>
      <w:r w:rsidR="007A49B3">
        <w:t>,</w:t>
      </w:r>
      <w:r w:rsidR="00491814">
        <w:t xml:space="preserve"> será necesaria únicamente la ventilación postquirúrgica.</w:t>
      </w:r>
    </w:p>
    <w:p w14:paraId="27FC6324" w14:textId="77777777" w:rsidR="00491814" w:rsidRDefault="00491814" w:rsidP="000903E8">
      <w:pPr>
        <w:autoSpaceDE w:val="0"/>
        <w:autoSpaceDN w:val="0"/>
        <w:adjustRightInd w:val="0"/>
        <w:spacing w:line="360" w:lineRule="auto"/>
        <w:jc w:val="both"/>
      </w:pPr>
    </w:p>
    <w:p w14:paraId="18741567" w14:textId="77777777" w:rsidR="006E7956" w:rsidRDefault="006E7956" w:rsidP="000903E8">
      <w:pPr>
        <w:autoSpaceDE w:val="0"/>
        <w:autoSpaceDN w:val="0"/>
        <w:adjustRightInd w:val="0"/>
        <w:spacing w:line="360" w:lineRule="auto"/>
        <w:jc w:val="both"/>
      </w:pPr>
    </w:p>
    <w:p w14:paraId="3865C22C" w14:textId="0051A377" w:rsidR="006E7956" w:rsidRDefault="007A49B3" w:rsidP="006E7956">
      <w:pPr>
        <w:jc w:val="both"/>
        <w:rPr>
          <w:noProof/>
        </w:rPr>
      </w:pPr>
      <w:r>
        <w:rPr>
          <w:b/>
          <w:noProof/>
        </w:rPr>
        <w:t xml:space="preserve">Figura 1.- </w:t>
      </w:r>
      <w:r w:rsidR="006E7956">
        <w:rPr>
          <w:noProof/>
        </w:rPr>
        <w:t>Espirometría forzada</w:t>
      </w:r>
    </w:p>
    <w:p w14:paraId="32D6DCD7" w14:textId="77777777" w:rsidR="006E7956" w:rsidRDefault="006E7956" w:rsidP="006E7956">
      <w:pPr>
        <w:jc w:val="both"/>
        <w:rPr>
          <w:noProof/>
        </w:rPr>
      </w:pPr>
    </w:p>
    <w:p w14:paraId="77E2E930" w14:textId="77777777" w:rsidR="006E7956" w:rsidRDefault="006E7956" w:rsidP="006E7956">
      <w:pPr>
        <w:jc w:val="both"/>
        <w:rPr>
          <w:noProof/>
        </w:rPr>
      </w:pPr>
    </w:p>
    <w:p w14:paraId="5718C268" w14:textId="77777777" w:rsidR="006E7956" w:rsidRDefault="006E7956" w:rsidP="006E7956">
      <w:pPr>
        <w:jc w:val="both"/>
        <w:rPr>
          <w:noProof/>
        </w:rPr>
      </w:pPr>
    </w:p>
    <w:p w14:paraId="6BE7063E" w14:textId="77777777" w:rsidR="006E7956" w:rsidRDefault="006E7956" w:rsidP="006E7956">
      <w:pPr>
        <w:jc w:val="both"/>
        <w:rPr>
          <w:noProof/>
        </w:rPr>
      </w:pPr>
      <w:r w:rsidRPr="00A21BE3">
        <w:rPr>
          <w:noProof/>
        </w:rPr>
        <w:drawing>
          <wp:inline distT="0" distB="0" distL="0" distR="0" wp14:anchorId="5E069CA3" wp14:editId="3EB3F740">
            <wp:extent cx="2505753" cy="2609850"/>
            <wp:effectExtent l="19050" t="0" r="8847" b="0"/>
            <wp:docPr id="6" name="Imagen 2" descr="C:\Users\Olaia\Desktop\Scan-140401-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laia\Desktop\Scan-140401-0002.jpg"/>
                    <pic:cNvPicPr>
                      <a:picLocks noChangeAspect="1" noChangeArrowheads="1"/>
                    </pic:cNvPicPr>
                  </pic:nvPicPr>
                  <pic:blipFill>
                    <a:blip r:embed="rId6" cstate="print"/>
                    <a:srcRect/>
                    <a:stretch>
                      <a:fillRect/>
                    </a:stretch>
                  </pic:blipFill>
                  <pic:spPr bwMode="auto">
                    <a:xfrm>
                      <a:off x="0" y="0"/>
                      <a:ext cx="2505753" cy="2609850"/>
                    </a:xfrm>
                    <a:prstGeom prst="rect">
                      <a:avLst/>
                    </a:prstGeom>
                    <a:noFill/>
                    <a:ln w="9525">
                      <a:noFill/>
                      <a:miter lim="800000"/>
                      <a:headEnd/>
                      <a:tailEnd/>
                    </a:ln>
                  </pic:spPr>
                </pic:pic>
              </a:graphicData>
            </a:graphic>
          </wp:inline>
        </w:drawing>
      </w:r>
    </w:p>
    <w:p w14:paraId="18E75909" w14:textId="77777777" w:rsidR="006E7956" w:rsidRDefault="006E7956" w:rsidP="006E7956">
      <w:pPr>
        <w:jc w:val="both"/>
        <w:rPr>
          <w:noProof/>
        </w:rPr>
      </w:pPr>
      <w:r w:rsidRPr="00A21BE3">
        <w:rPr>
          <w:noProof/>
        </w:rPr>
        <w:drawing>
          <wp:inline distT="0" distB="0" distL="0" distR="0" wp14:anchorId="19212A85" wp14:editId="2868E2BF">
            <wp:extent cx="4762500" cy="1852959"/>
            <wp:effectExtent l="19050" t="0" r="0" b="0"/>
            <wp:docPr id="7" name="Imagen 3" descr="C:\Users\Olaia\Desktop\Scan-140401-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laia\Desktop\Scan-140401-0003.jpg"/>
                    <pic:cNvPicPr>
                      <a:picLocks noChangeAspect="1" noChangeArrowheads="1"/>
                    </pic:cNvPicPr>
                  </pic:nvPicPr>
                  <pic:blipFill>
                    <a:blip r:embed="rId7" cstate="print"/>
                    <a:srcRect/>
                    <a:stretch>
                      <a:fillRect/>
                    </a:stretch>
                  </pic:blipFill>
                  <pic:spPr bwMode="auto">
                    <a:xfrm>
                      <a:off x="0" y="0"/>
                      <a:ext cx="4761940" cy="1852741"/>
                    </a:xfrm>
                    <a:prstGeom prst="rect">
                      <a:avLst/>
                    </a:prstGeom>
                    <a:noFill/>
                    <a:ln w="9525">
                      <a:noFill/>
                      <a:miter lim="800000"/>
                      <a:headEnd/>
                      <a:tailEnd/>
                    </a:ln>
                  </pic:spPr>
                </pic:pic>
              </a:graphicData>
            </a:graphic>
          </wp:inline>
        </w:drawing>
      </w:r>
    </w:p>
    <w:p w14:paraId="7E4F5FF2" w14:textId="77777777" w:rsidR="006E7956" w:rsidRDefault="006E7956" w:rsidP="006E7956">
      <w:pPr>
        <w:jc w:val="both"/>
        <w:rPr>
          <w:noProof/>
        </w:rPr>
      </w:pPr>
    </w:p>
    <w:p w14:paraId="4620B12A" w14:textId="77777777" w:rsidR="006E7956" w:rsidRDefault="006E7956" w:rsidP="006E7956">
      <w:pPr>
        <w:spacing w:line="360" w:lineRule="auto"/>
        <w:jc w:val="both"/>
        <w:rPr>
          <w:noProof/>
        </w:rPr>
      </w:pPr>
      <w:r>
        <w:rPr>
          <w:noProof/>
        </w:rPr>
        <w:lastRenderedPageBreak/>
        <w:t xml:space="preserve">Patrón funcional restrictivo con disminución de la FVC inferior a 80% y aumento de FEV1/FVC  (112%). La morfologia de la curva es redondeada o convexa. </w:t>
      </w:r>
    </w:p>
    <w:p w14:paraId="6F39619C" w14:textId="77777777" w:rsidR="006E7956" w:rsidRDefault="006E7956" w:rsidP="006E7956">
      <w:pPr>
        <w:jc w:val="both"/>
        <w:rPr>
          <w:noProof/>
        </w:rPr>
      </w:pPr>
    </w:p>
    <w:p w14:paraId="07629736" w14:textId="77777777" w:rsidR="006E7956" w:rsidRDefault="006E7956" w:rsidP="006E7956">
      <w:pPr>
        <w:jc w:val="both"/>
        <w:rPr>
          <w:noProof/>
        </w:rPr>
      </w:pPr>
    </w:p>
    <w:p w14:paraId="6C4F97B4" w14:textId="77777777" w:rsidR="006E7956" w:rsidRDefault="006E7956" w:rsidP="006E7956">
      <w:pPr>
        <w:jc w:val="both"/>
        <w:rPr>
          <w:noProof/>
        </w:rPr>
      </w:pPr>
    </w:p>
    <w:p w14:paraId="447BD139" w14:textId="77777777" w:rsidR="006E7956" w:rsidRDefault="006E7956" w:rsidP="006E7956">
      <w:pPr>
        <w:jc w:val="both"/>
        <w:rPr>
          <w:noProof/>
        </w:rPr>
      </w:pPr>
    </w:p>
    <w:p w14:paraId="5D1642DC" w14:textId="77777777" w:rsidR="0013485D" w:rsidRDefault="0013485D" w:rsidP="0013485D">
      <w:pPr>
        <w:spacing w:line="360" w:lineRule="auto"/>
        <w:jc w:val="both"/>
        <w:rPr>
          <w:b/>
        </w:rPr>
      </w:pPr>
      <w:r w:rsidRPr="0013485D">
        <w:rPr>
          <w:b/>
        </w:rPr>
        <w:t>Flujo pico de tos</w:t>
      </w:r>
    </w:p>
    <w:p w14:paraId="3A0FD2E1" w14:textId="77777777" w:rsidR="0013485D" w:rsidRPr="0013485D" w:rsidRDefault="0013485D" w:rsidP="0013485D">
      <w:pPr>
        <w:spacing w:line="360" w:lineRule="auto"/>
        <w:jc w:val="both"/>
      </w:pPr>
      <w:r>
        <w:t xml:space="preserve">La capacidad para toser requiere el uso coordinado de músculos inspiratorios y espiratorios. </w:t>
      </w:r>
      <w:r w:rsidR="001F57E8">
        <w:t>La eficacia de la tos se puede evaluar determinando el flujo pico de tos que se realiza con un medidor de flujo espiratorio máximo utilizando una pieza bucal o una mascarilla facial. Se anima al paciente a realizar un esfuerzo  máximo de tos y se mide el flujo máximo conseguido reflejo de la eficacia de los músculos espiratorios.</w:t>
      </w:r>
    </w:p>
    <w:p w14:paraId="0C19DD3B" w14:textId="10C1E2EC" w:rsidR="0013485D" w:rsidRPr="00915DC0" w:rsidRDefault="0013485D" w:rsidP="0013485D">
      <w:pPr>
        <w:tabs>
          <w:tab w:val="left" w:pos="0"/>
        </w:tabs>
        <w:spacing w:line="360" w:lineRule="auto"/>
        <w:jc w:val="both"/>
        <w:rPr>
          <w:color w:val="FF0000"/>
        </w:rPr>
      </w:pPr>
      <w:r w:rsidRPr="0013485D">
        <w:t>Los objetivos principales de la fisioterapia respiratoria son mantener la distensibilidad pulmonar, la ventilación alveolar y mantener y/o mejorar la eficacia de la respiración optimizando el flujo pico de la tos (</w:t>
      </w:r>
      <w:r w:rsidRPr="0013485D">
        <w:rPr>
          <w:i/>
        </w:rPr>
        <w:t>peak cough flow</w:t>
      </w:r>
      <w:r w:rsidRPr="0013485D">
        <w:t xml:space="preserve">, PCF) y el manejo de las secreciones. </w:t>
      </w:r>
      <w:r w:rsidRPr="0013485D">
        <w:rPr>
          <w:color w:val="000000"/>
        </w:rPr>
        <w:t xml:space="preserve">El PCF se correlaciona directamente con la capacidad del aclaramiento mucociliar del tracto </w:t>
      </w:r>
      <w:r w:rsidRPr="0013485D">
        <w:t>respiratorio y valores inferiores a 160 L/min se han asociado con un aclaramiento mucociliar inefectivo. Así, valores iguales o inferiores a 270 L/min se han utilizado para identificar a aquellos pacientes que se beneficiarían de técnicas de asistencia de la tos. Valores de PCF entre 160 y 270 L/min indican que probablemente el PCF alcance un valor inferior a 160 L/min durante las infecciones respiratorias.</w:t>
      </w:r>
      <w:r w:rsidRPr="0013485D">
        <w:rPr>
          <w:color w:val="FF0000"/>
        </w:rPr>
        <w:t xml:space="preserve"> </w:t>
      </w:r>
      <w:r w:rsidR="00915DC0" w:rsidRPr="00440ED9">
        <w:t xml:space="preserve">En ese caso, se recomienda el inicio de la insuflación y exuflación mecánica (I-E-M) </w:t>
      </w:r>
      <w:r w:rsidR="00915DC0" w:rsidRPr="00440ED9">
        <w:rPr>
          <w:i/>
        </w:rPr>
        <w:t>Cough-Assist</w:t>
      </w:r>
      <w:r w:rsidR="00915DC0" w:rsidRPr="00440ED9">
        <w:rPr>
          <w:vertAlign w:val="superscript"/>
        </w:rPr>
        <w:t>®</w:t>
      </w:r>
      <w:r w:rsidR="00915DC0">
        <w:rPr>
          <w:vertAlign w:val="superscript"/>
        </w:rPr>
        <w:t xml:space="preserve"> </w:t>
      </w:r>
      <w:r w:rsidR="00915DC0">
        <w:t>(figura 2)</w:t>
      </w:r>
      <w:r w:rsidR="00915DC0" w:rsidRPr="00440ED9">
        <w:t xml:space="preserve">. </w:t>
      </w:r>
      <w:r w:rsidRPr="0013485D">
        <w:t>El PCF se ha correlac</w:t>
      </w:r>
      <w:r w:rsidR="00915DC0">
        <w:t xml:space="preserve">ionado con el </w:t>
      </w:r>
      <w:r w:rsidRPr="0013485D">
        <w:t>FEV</w:t>
      </w:r>
      <w:r w:rsidRPr="0013485D">
        <w:rPr>
          <w:vertAlign w:val="subscript"/>
        </w:rPr>
        <w:t>1</w:t>
      </w:r>
      <w:r w:rsidRPr="0013485D">
        <w:t xml:space="preserve"> y </w:t>
      </w:r>
      <w:r w:rsidR="00915DC0">
        <w:t>con la FVC</w:t>
      </w:r>
      <w:r w:rsidRPr="0013485D">
        <w:t xml:space="preserve"> medidas por espirometría forzada. En este sentido, la prob</w:t>
      </w:r>
      <w:r w:rsidR="00915DC0">
        <w:t xml:space="preserve">abilidad de tener PCF inferior </w:t>
      </w:r>
      <w:r w:rsidRPr="0013485D">
        <w:t>a 270 L/min aumenta de forma significativa si la FVC es inferior a 2,1 L y el FEV</w:t>
      </w:r>
      <w:r w:rsidRPr="0013485D">
        <w:rPr>
          <w:vertAlign w:val="subscript"/>
        </w:rPr>
        <w:t>1</w:t>
      </w:r>
      <w:r w:rsidRPr="0013485D">
        <w:t xml:space="preserve"> es inferior a 2,1 L/s. Además, son necesarias presiones máximas espiratorias iguales o superiores a 60 cm</w:t>
      </w:r>
      <w:r w:rsidR="00392DD7">
        <w:t xml:space="preserve"> </w:t>
      </w:r>
      <w:r w:rsidRPr="0013485D">
        <w:t>H</w:t>
      </w:r>
      <w:r w:rsidRPr="0013485D">
        <w:rPr>
          <w:vertAlign w:val="subscript"/>
        </w:rPr>
        <w:t>2</w:t>
      </w:r>
      <w:r w:rsidRPr="0013485D">
        <w:t>0 para alcanzar un flujo suficiente para producir una tos efectiva.</w:t>
      </w:r>
    </w:p>
    <w:p w14:paraId="4B2A3B5B" w14:textId="77777777" w:rsidR="00392DD7" w:rsidRDefault="00392DD7" w:rsidP="006E7956">
      <w:pPr>
        <w:jc w:val="both"/>
        <w:rPr>
          <w:b/>
          <w:noProof/>
        </w:rPr>
      </w:pPr>
    </w:p>
    <w:p w14:paraId="2E33E30F" w14:textId="77777777" w:rsidR="00392DD7" w:rsidRDefault="00392DD7" w:rsidP="006E7956">
      <w:pPr>
        <w:jc w:val="both"/>
        <w:rPr>
          <w:b/>
          <w:noProof/>
        </w:rPr>
      </w:pPr>
    </w:p>
    <w:p w14:paraId="179A777D" w14:textId="77777777" w:rsidR="00392DD7" w:rsidRDefault="00392DD7" w:rsidP="006E7956">
      <w:pPr>
        <w:jc w:val="both"/>
        <w:rPr>
          <w:b/>
          <w:noProof/>
        </w:rPr>
      </w:pPr>
    </w:p>
    <w:p w14:paraId="1BE6C35D" w14:textId="77777777" w:rsidR="00392DD7" w:rsidRDefault="00392DD7" w:rsidP="006E7956">
      <w:pPr>
        <w:jc w:val="both"/>
        <w:rPr>
          <w:b/>
          <w:noProof/>
        </w:rPr>
      </w:pPr>
    </w:p>
    <w:p w14:paraId="7EE18F2A" w14:textId="77777777" w:rsidR="00392DD7" w:rsidRDefault="00392DD7" w:rsidP="006E7956">
      <w:pPr>
        <w:jc w:val="both"/>
        <w:rPr>
          <w:b/>
          <w:noProof/>
        </w:rPr>
      </w:pPr>
    </w:p>
    <w:p w14:paraId="2E3E29EE" w14:textId="77777777" w:rsidR="00392DD7" w:rsidRDefault="00392DD7" w:rsidP="006E7956">
      <w:pPr>
        <w:jc w:val="both"/>
        <w:rPr>
          <w:b/>
          <w:noProof/>
        </w:rPr>
      </w:pPr>
    </w:p>
    <w:p w14:paraId="21DB6A0D" w14:textId="77777777" w:rsidR="00392DD7" w:rsidRDefault="00392DD7" w:rsidP="006E7956">
      <w:pPr>
        <w:jc w:val="both"/>
        <w:rPr>
          <w:b/>
          <w:noProof/>
        </w:rPr>
      </w:pPr>
    </w:p>
    <w:p w14:paraId="79803F59" w14:textId="77777777" w:rsidR="00392DD7" w:rsidRDefault="00392DD7" w:rsidP="006E7956">
      <w:pPr>
        <w:jc w:val="both"/>
        <w:rPr>
          <w:b/>
          <w:noProof/>
        </w:rPr>
      </w:pPr>
    </w:p>
    <w:p w14:paraId="480B363D" w14:textId="77777777" w:rsidR="00392DD7" w:rsidRDefault="00392DD7" w:rsidP="006E7956">
      <w:pPr>
        <w:jc w:val="both"/>
        <w:rPr>
          <w:b/>
          <w:noProof/>
        </w:rPr>
      </w:pPr>
    </w:p>
    <w:p w14:paraId="712C9434" w14:textId="77777777" w:rsidR="00392DD7" w:rsidRDefault="00392DD7" w:rsidP="006E7956">
      <w:pPr>
        <w:jc w:val="both"/>
        <w:rPr>
          <w:b/>
          <w:noProof/>
        </w:rPr>
      </w:pPr>
    </w:p>
    <w:p w14:paraId="563E8B1F" w14:textId="77777777" w:rsidR="00392DD7" w:rsidRDefault="00392DD7" w:rsidP="006E7956">
      <w:pPr>
        <w:jc w:val="both"/>
        <w:rPr>
          <w:b/>
          <w:noProof/>
        </w:rPr>
      </w:pPr>
    </w:p>
    <w:p w14:paraId="386C0465" w14:textId="77777777" w:rsidR="00392DD7" w:rsidRDefault="00392DD7" w:rsidP="006E7956">
      <w:pPr>
        <w:jc w:val="both"/>
        <w:rPr>
          <w:b/>
          <w:noProof/>
        </w:rPr>
      </w:pPr>
    </w:p>
    <w:p w14:paraId="5748CB97" w14:textId="0B45D325" w:rsidR="006E7956" w:rsidRPr="00392DD7" w:rsidRDefault="006E7956" w:rsidP="006E7956">
      <w:pPr>
        <w:jc w:val="both"/>
        <w:rPr>
          <w:noProof/>
        </w:rPr>
      </w:pPr>
      <w:r w:rsidRPr="00A21BE3">
        <w:rPr>
          <w:b/>
          <w:noProof/>
        </w:rPr>
        <w:lastRenderedPageBreak/>
        <w:t xml:space="preserve">Figura </w:t>
      </w:r>
      <w:r>
        <w:rPr>
          <w:b/>
          <w:noProof/>
        </w:rPr>
        <w:t>2</w:t>
      </w:r>
      <w:r w:rsidR="00392DD7">
        <w:rPr>
          <w:noProof/>
        </w:rPr>
        <w:t>.-</w:t>
      </w:r>
      <w:r w:rsidRPr="00A21BE3">
        <w:rPr>
          <w:noProof/>
        </w:rPr>
        <w:t xml:space="preserve"> </w:t>
      </w:r>
      <w:r w:rsidRPr="00A21BE3">
        <w:t xml:space="preserve">Insuflación y exuflación mecánica (I-E-M). </w:t>
      </w:r>
      <w:r w:rsidRPr="00A21BE3">
        <w:rPr>
          <w:i/>
        </w:rPr>
        <w:t>Cough-Assist</w:t>
      </w:r>
      <w:r w:rsidRPr="00A21BE3">
        <w:rPr>
          <w:vertAlign w:val="superscript"/>
        </w:rPr>
        <w:t>®</w:t>
      </w:r>
      <w:r w:rsidR="00392DD7">
        <w:t>.</w:t>
      </w:r>
    </w:p>
    <w:p w14:paraId="1EB751AD" w14:textId="77777777" w:rsidR="006E7956" w:rsidRPr="00A21BE3" w:rsidRDefault="006E7956" w:rsidP="006E7956">
      <w:pPr>
        <w:jc w:val="both"/>
        <w:rPr>
          <w:noProof/>
        </w:rPr>
      </w:pPr>
    </w:p>
    <w:p w14:paraId="79C509F3" w14:textId="77777777" w:rsidR="006E7956" w:rsidRDefault="006E7956" w:rsidP="006E7956">
      <w:pPr>
        <w:jc w:val="both"/>
        <w:rPr>
          <w:rFonts w:ascii="Arial" w:hAnsi="Arial" w:cs="Arial"/>
          <w:sz w:val="22"/>
          <w:szCs w:val="22"/>
        </w:rPr>
      </w:pPr>
      <w:r>
        <w:rPr>
          <w:rFonts w:ascii="Arial" w:hAnsi="Arial" w:cs="Arial"/>
          <w:noProof/>
          <w:sz w:val="22"/>
          <w:szCs w:val="22"/>
        </w:rPr>
        <w:drawing>
          <wp:inline distT="0" distB="0" distL="0" distR="0" wp14:anchorId="5ACF763A" wp14:editId="63F77BCA">
            <wp:extent cx="5676900" cy="1600200"/>
            <wp:effectExtent l="19050" t="0" r="0" b="0"/>
            <wp:docPr id="1" name="Imagen 1" descr="CA_d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_def"/>
                    <pic:cNvPicPr>
                      <a:picLocks noChangeAspect="1" noChangeArrowheads="1"/>
                    </pic:cNvPicPr>
                  </pic:nvPicPr>
                  <pic:blipFill>
                    <a:blip r:embed="rId8" cstate="print"/>
                    <a:srcRect/>
                    <a:stretch>
                      <a:fillRect/>
                    </a:stretch>
                  </pic:blipFill>
                  <pic:spPr bwMode="auto">
                    <a:xfrm>
                      <a:off x="0" y="0"/>
                      <a:ext cx="5676900" cy="1600200"/>
                    </a:xfrm>
                    <a:prstGeom prst="rect">
                      <a:avLst/>
                    </a:prstGeom>
                    <a:noFill/>
                    <a:ln w="9525">
                      <a:noFill/>
                      <a:miter lim="800000"/>
                      <a:headEnd/>
                      <a:tailEnd/>
                    </a:ln>
                  </pic:spPr>
                </pic:pic>
              </a:graphicData>
            </a:graphic>
          </wp:inline>
        </w:drawing>
      </w:r>
    </w:p>
    <w:p w14:paraId="171BA0A6" w14:textId="77777777" w:rsidR="006E7956" w:rsidRDefault="006E7956" w:rsidP="006E7956">
      <w:pPr>
        <w:jc w:val="both"/>
        <w:rPr>
          <w:rFonts w:ascii="Arial" w:hAnsi="Arial" w:cs="Arial"/>
          <w:sz w:val="22"/>
          <w:szCs w:val="22"/>
        </w:rPr>
      </w:pPr>
    </w:p>
    <w:p w14:paraId="39BB34CC" w14:textId="77777777" w:rsidR="00D765A0" w:rsidRDefault="00D765A0" w:rsidP="006E7956">
      <w:pPr>
        <w:spacing w:line="360" w:lineRule="auto"/>
        <w:jc w:val="both"/>
      </w:pPr>
    </w:p>
    <w:p w14:paraId="22708250" w14:textId="77777777" w:rsidR="005755F8" w:rsidRDefault="005755F8" w:rsidP="006E7956">
      <w:pPr>
        <w:spacing w:line="360" w:lineRule="auto"/>
        <w:jc w:val="both"/>
      </w:pPr>
    </w:p>
    <w:p w14:paraId="5143FA7F" w14:textId="37DBAFF0" w:rsidR="005755F8" w:rsidRDefault="005755F8" w:rsidP="006E7956">
      <w:pPr>
        <w:spacing w:line="360" w:lineRule="auto"/>
        <w:jc w:val="both"/>
      </w:pPr>
      <w:r>
        <w:rPr>
          <w:noProof/>
        </w:rPr>
        <w:drawing>
          <wp:inline distT="0" distB="0" distL="0" distR="0" wp14:anchorId="01F95B7D" wp14:editId="563780F5">
            <wp:extent cx="4114800" cy="27432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_Beauty_Left_001_CKHiSm.jpg"/>
                    <pic:cNvPicPr/>
                  </pic:nvPicPr>
                  <pic:blipFill>
                    <a:blip r:embed="rId9">
                      <a:extLst>
                        <a:ext uri="{28A0092B-C50C-407E-A947-70E740481C1C}">
                          <a14:useLocalDpi xmlns:a14="http://schemas.microsoft.com/office/drawing/2010/main" val="0"/>
                        </a:ext>
                      </a:extLst>
                    </a:blip>
                    <a:stretch>
                      <a:fillRect/>
                    </a:stretch>
                  </pic:blipFill>
                  <pic:spPr>
                    <a:xfrm>
                      <a:off x="0" y="0"/>
                      <a:ext cx="4114800" cy="2743200"/>
                    </a:xfrm>
                    <a:prstGeom prst="rect">
                      <a:avLst/>
                    </a:prstGeom>
                  </pic:spPr>
                </pic:pic>
              </a:graphicData>
            </a:graphic>
          </wp:inline>
        </w:drawing>
      </w:r>
    </w:p>
    <w:p w14:paraId="2F5D1992" w14:textId="77777777" w:rsidR="005755F8" w:rsidRDefault="005755F8" w:rsidP="005755F8">
      <w:pPr>
        <w:jc w:val="both"/>
        <w:rPr>
          <w:rFonts w:ascii="Arial" w:hAnsi="Arial" w:cs="Arial"/>
          <w:sz w:val="18"/>
          <w:szCs w:val="22"/>
        </w:rPr>
      </w:pPr>
    </w:p>
    <w:p w14:paraId="1B5BE496" w14:textId="77777777" w:rsidR="005755F8" w:rsidRPr="00D765A0" w:rsidRDefault="005755F8" w:rsidP="005755F8">
      <w:pPr>
        <w:jc w:val="both"/>
        <w:rPr>
          <w:rFonts w:ascii="Arial" w:hAnsi="Arial" w:cs="Arial"/>
          <w:sz w:val="18"/>
          <w:szCs w:val="22"/>
        </w:rPr>
      </w:pPr>
      <w:bookmarkStart w:id="1" w:name="_GoBack"/>
      <w:bookmarkEnd w:id="1"/>
      <w:r>
        <w:rPr>
          <w:rFonts w:ascii="Arial" w:hAnsi="Arial" w:cs="Arial"/>
          <w:sz w:val="18"/>
          <w:szCs w:val="22"/>
        </w:rPr>
        <w:t>(Autorizada su reproducción. Gentileza de Home Healthcare Solutions</w:t>
      </w:r>
      <w:r>
        <w:rPr>
          <w:rFonts w:ascii="Arial" w:hAnsi="Arial" w:cs="Arial"/>
          <w:sz w:val="18"/>
          <w:szCs w:val="22"/>
        </w:rPr>
        <w:sym w:font="Symbol" w:char="F0D2"/>
      </w:r>
      <w:r>
        <w:rPr>
          <w:rFonts w:ascii="Arial" w:hAnsi="Arial" w:cs="Arial"/>
          <w:sz w:val="18"/>
          <w:szCs w:val="22"/>
        </w:rPr>
        <w:t xml:space="preserve"> – Philips Respironics</w:t>
      </w:r>
      <w:r>
        <w:rPr>
          <w:rFonts w:ascii="Arial" w:hAnsi="Arial" w:cs="Arial"/>
          <w:sz w:val="18"/>
          <w:szCs w:val="22"/>
        </w:rPr>
        <w:sym w:font="Symbol" w:char="F0D2"/>
      </w:r>
      <w:r>
        <w:rPr>
          <w:rFonts w:ascii="Arial" w:hAnsi="Arial" w:cs="Arial"/>
          <w:sz w:val="18"/>
          <w:szCs w:val="22"/>
        </w:rPr>
        <w:t>)</w:t>
      </w:r>
    </w:p>
    <w:p w14:paraId="6181C79B" w14:textId="77777777" w:rsidR="00D765A0" w:rsidRDefault="00D765A0" w:rsidP="006E7956">
      <w:pPr>
        <w:spacing w:line="360" w:lineRule="auto"/>
        <w:jc w:val="both"/>
      </w:pPr>
    </w:p>
    <w:p w14:paraId="74711CF7" w14:textId="77777777" w:rsidR="006E7956" w:rsidRPr="00A21BE3" w:rsidRDefault="006E7956" w:rsidP="006E7956">
      <w:pPr>
        <w:spacing w:line="360" w:lineRule="auto"/>
        <w:jc w:val="both"/>
      </w:pPr>
      <w:r w:rsidRPr="00A21BE3">
        <w:t>La IEM consiste en la simulación de la tos que se consigue aplicando una presión positiva durante la inspiración (insuflación profunda) seguida de una presión negativa que produce una depresión de la vía aérea y genera un flujo espiratorio pasivo significativo (hasta 400 L/min) generando finalmente un pico flujo de tos (exuflación profunda). Las interfaces utilizadas para la inspiración incluyen mascarillas faciales, pieza bucal o tubo de traqueostomía</w:t>
      </w:r>
      <w:r>
        <w:t>.</w:t>
      </w:r>
    </w:p>
    <w:p w14:paraId="327122BF" w14:textId="77777777" w:rsidR="0013485D" w:rsidRDefault="0013485D" w:rsidP="0013485D">
      <w:pPr>
        <w:jc w:val="both"/>
        <w:rPr>
          <w:b/>
        </w:rPr>
      </w:pPr>
    </w:p>
    <w:p w14:paraId="394ECC55" w14:textId="77777777" w:rsidR="005F49A3" w:rsidRPr="005F49A3" w:rsidRDefault="005F49A3" w:rsidP="005F49A3">
      <w:pPr>
        <w:spacing w:line="360" w:lineRule="auto"/>
        <w:jc w:val="both"/>
        <w:rPr>
          <w:b/>
        </w:rPr>
      </w:pPr>
    </w:p>
    <w:p w14:paraId="1F01B5A4" w14:textId="792B3F36" w:rsidR="005F49A3" w:rsidRPr="005F49A3" w:rsidRDefault="005F49A3" w:rsidP="005F49A3">
      <w:pPr>
        <w:spacing w:line="360" w:lineRule="auto"/>
        <w:jc w:val="both"/>
        <w:rPr>
          <w:b/>
        </w:rPr>
      </w:pPr>
      <w:r w:rsidRPr="005F49A3">
        <w:rPr>
          <w:b/>
        </w:rPr>
        <w:t>Bibliografía</w:t>
      </w:r>
      <w:r w:rsidR="00392DD7">
        <w:rPr>
          <w:b/>
        </w:rPr>
        <w:t>.</w:t>
      </w:r>
    </w:p>
    <w:p w14:paraId="1FA22979" w14:textId="77777777" w:rsidR="005F49A3" w:rsidRPr="005F49A3" w:rsidRDefault="005F49A3" w:rsidP="005F49A3">
      <w:pPr>
        <w:autoSpaceDE w:val="0"/>
        <w:autoSpaceDN w:val="0"/>
        <w:adjustRightInd w:val="0"/>
        <w:spacing w:line="360" w:lineRule="auto"/>
        <w:jc w:val="both"/>
        <w:rPr>
          <w:rFonts w:eastAsia="Calibri"/>
        </w:rPr>
      </w:pPr>
    </w:p>
    <w:p w14:paraId="2B1DD914" w14:textId="58B6B638" w:rsidR="005F49A3" w:rsidRPr="005F49A3" w:rsidRDefault="00392DD7" w:rsidP="005F49A3">
      <w:pPr>
        <w:autoSpaceDE w:val="0"/>
        <w:autoSpaceDN w:val="0"/>
        <w:adjustRightInd w:val="0"/>
        <w:spacing w:line="360" w:lineRule="auto"/>
        <w:jc w:val="both"/>
        <w:rPr>
          <w:rFonts w:eastAsia="Calibri"/>
          <w:lang w:val="en-US"/>
        </w:rPr>
      </w:pPr>
      <w:r>
        <w:rPr>
          <w:rFonts w:eastAsia="Calibri"/>
        </w:rPr>
        <w:lastRenderedPageBreak/>
        <w:t xml:space="preserve">1.- </w:t>
      </w:r>
      <w:r w:rsidR="005F49A3" w:rsidRPr="005F49A3">
        <w:rPr>
          <w:rFonts w:eastAsia="Calibri"/>
        </w:rPr>
        <w:t xml:space="preserve">Hull J, Aniapravan R, Chan E, et al. </w:t>
      </w:r>
      <w:r w:rsidR="005F49A3" w:rsidRPr="005F49A3">
        <w:rPr>
          <w:rFonts w:eastAsia="Calibri"/>
          <w:lang w:val="en-US"/>
        </w:rPr>
        <w:t>British Thoracic Society guideline for respiratory management of children with neuromuscular weakness. Thorax 2012;</w:t>
      </w:r>
      <w:r w:rsidR="005F49A3">
        <w:rPr>
          <w:rFonts w:eastAsia="Calibri"/>
          <w:lang w:val="en-US"/>
        </w:rPr>
        <w:t xml:space="preserve"> </w:t>
      </w:r>
      <w:r w:rsidR="005F49A3" w:rsidRPr="005F49A3">
        <w:rPr>
          <w:rFonts w:eastAsia="Calibri"/>
          <w:lang w:val="en-US"/>
        </w:rPr>
        <w:t>67 (Suppl 1):</w:t>
      </w:r>
      <w:r>
        <w:rPr>
          <w:rFonts w:eastAsia="Calibri"/>
          <w:lang w:val="en-US"/>
        </w:rPr>
        <w:t xml:space="preserve"> </w:t>
      </w:r>
      <w:r w:rsidR="005F49A3" w:rsidRPr="005F49A3">
        <w:rPr>
          <w:rFonts w:eastAsia="Calibri"/>
          <w:lang w:val="en-US"/>
        </w:rPr>
        <w:t>1e</w:t>
      </w:r>
      <w:r>
        <w:rPr>
          <w:rFonts w:eastAsia="Calibri"/>
          <w:lang w:val="en-US"/>
        </w:rPr>
        <w:t>-</w:t>
      </w:r>
      <w:r w:rsidR="005F49A3" w:rsidRPr="005F49A3">
        <w:rPr>
          <w:rFonts w:eastAsia="Calibri"/>
          <w:lang w:val="en-US"/>
        </w:rPr>
        <w:t>40.</w:t>
      </w:r>
    </w:p>
    <w:p w14:paraId="331DB11A" w14:textId="77777777" w:rsidR="005F49A3" w:rsidRPr="005F49A3" w:rsidRDefault="005F49A3" w:rsidP="005F49A3">
      <w:pPr>
        <w:spacing w:line="360" w:lineRule="auto"/>
        <w:jc w:val="both"/>
        <w:rPr>
          <w:b/>
        </w:rPr>
      </w:pPr>
    </w:p>
    <w:p w14:paraId="15200E4F" w14:textId="6F900035" w:rsidR="005F49A3" w:rsidRPr="005F49A3" w:rsidRDefault="00392DD7" w:rsidP="005F49A3">
      <w:pPr>
        <w:pStyle w:val="desc2"/>
        <w:shd w:val="clear" w:color="auto" w:fill="FFFFFF"/>
        <w:spacing w:line="360" w:lineRule="auto"/>
        <w:jc w:val="both"/>
        <w:rPr>
          <w:sz w:val="24"/>
          <w:szCs w:val="24"/>
        </w:rPr>
      </w:pPr>
      <w:r>
        <w:rPr>
          <w:sz w:val="24"/>
          <w:szCs w:val="24"/>
        </w:rPr>
        <w:t xml:space="preserve">2.- </w:t>
      </w:r>
      <w:r w:rsidR="005F49A3" w:rsidRPr="005F49A3">
        <w:rPr>
          <w:sz w:val="24"/>
          <w:szCs w:val="24"/>
        </w:rPr>
        <w:t>Martínez C, Villa JR, Luna MC, Osona FB, Peña JA, Larramona H</w:t>
      </w:r>
      <w:r>
        <w:rPr>
          <w:sz w:val="24"/>
          <w:szCs w:val="24"/>
        </w:rPr>
        <w:t>,</w:t>
      </w:r>
      <w:r w:rsidR="005F49A3" w:rsidRPr="005F49A3">
        <w:rPr>
          <w:sz w:val="24"/>
          <w:szCs w:val="24"/>
        </w:rPr>
        <w:t xml:space="preserve"> et al. Neuromuscular disease: Respiratory clinical assessment and follow-up. </w:t>
      </w:r>
      <w:r w:rsidR="005F49A3" w:rsidRPr="005F49A3">
        <w:rPr>
          <w:rStyle w:val="jrnl"/>
          <w:sz w:val="24"/>
          <w:szCs w:val="24"/>
        </w:rPr>
        <w:t>An Pediatr (Barc)</w:t>
      </w:r>
      <w:r w:rsidR="005F49A3" w:rsidRPr="005F49A3">
        <w:rPr>
          <w:sz w:val="24"/>
          <w:szCs w:val="24"/>
        </w:rPr>
        <w:t xml:space="preserve">. </w:t>
      </w:r>
      <w:r>
        <w:rPr>
          <w:sz w:val="24"/>
          <w:szCs w:val="24"/>
        </w:rPr>
        <w:t xml:space="preserve">2014. </w:t>
      </w:r>
      <w:r w:rsidR="005F49A3" w:rsidRPr="005F49A3">
        <w:rPr>
          <w:sz w:val="24"/>
          <w:szCs w:val="24"/>
        </w:rPr>
        <w:t>doi: 10.1016/j.anpedi.2014.02.024.</w:t>
      </w:r>
    </w:p>
    <w:p w14:paraId="09D1BAB4" w14:textId="77777777" w:rsidR="005F49A3" w:rsidRPr="005F49A3" w:rsidRDefault="005F49A3" w:rsidP="005F49A3">
      <w:pPr>
        <w:pStyle w:val="desc2"/>
        <w:shd w:val="clear" w:color="auto" w:fill="FFFFFF"/>
        <w:spacing w:line="360" w:lineRule="auto"/>
        <w:jc w:val="both"/>
        <w:rPr>
          <w:sz w:val="24"/>
          <w:szCs w:val="24"/>
        </w:rPr>
      </w:pPr>
    </w:p>
    <w:p w14:paraId="4DF4423D" w14:textId="4659E04C" w:rsidR="005F49A3" w:rsidRPr="00392DD7" w:rsidRDefault="00392DD7" w:rsidP="005F49A3">
      <w:pPr>
        <w:autoSpaceDE w:val="0"/>
        <w:autoSpaceDN w:val="0"/>
        <w:adjustRightInd w:val="0"/>
        <w:spacing w:line="360" w:lineRule="auto"/>
        <w:jc w:val="both"/>
        <w:rPr>
          <w:lang w:val="en-GB"/>
        </w:rPr>
      </w:pPr>
      <w:r>
        <w:rPr>
          <w:lang w:val="en-GB"/>
        </w:rPr>
        <w:t xml:space="preserve">3.-. </w:t>
      </w:r>
      <w:r w:rsidR="005F49A3" w:rsidRPr="005F49A3">
        <w:rPr>
          <w:lang w:val="en-GB"/>
        </w:rPr>
        <w:t>Katz SL, Gaboury I, Keity K, Banwell B, Vajsar J, Anderson P</w:t>
      </w:r>
      <w:r>
        <w:rPr>
          <w:lang w:val="en-GB"/>
        </w:rPr>
        <w:t>,</w:t>
      </w:r>
      <w:r w:rsidR="005F49A3" w:rsidRPr="005F49A3">
        <w:rPr>
          <w:lang w:val="en-GB"/>
        </w:rPr>
        <w:t xml:space="preserve"> et al. Nocturnal hypoventilation: predictors and outcomes in childhood progressives neuromuscular disease. Arch </w:t>
      </w:r>
      <w:r w:rsidR="005F49A3" w:rsidRPr="00392DD7">
        <w:rPr>
          <w:lang w:val="en-GB"/>
        </w:rPr>
        <w:t>Dis Child</w:t>
      </w:r>
      <w:r w:rsidRPr="00392DD7">
        <w:rPr>
          <w:lang w:val="en-GB"/>
        </w:rPr>
        <w:t>.</w:t>
      </w:r>
      <w:r w:rsidR="005F49A3" w:rsidRPr="00392DD7">
        <w:rPr>
          <w:lang w:val="en-GB"/>
        </w:rPr>
        <w:t xml:space="preserve"> 2010; 95: 998-1003.</w:t>
      </w:r>
    </w:p>
    <w:p w14:paraId="2E9DF681" w14:textId="77777777" w:rsidR="005F49A3" w:rsidRPr="00392DD7" w:rsidRDefault="005F49A3" w:rsidP="005F49A3">
      <w:pPr>
        <w:autoSpaceDE w:val="0"/>
        <w:autoSpaceDN w:val="0"/>
        <w:adjustRightInd w:val="0"/>
        <w:spacing w:line="360" w:lineRule="auto"/>
        <w:jc w:val="both"/>
        <w:rPr>
          <w:lang w:val="en-GB"/>
        </w:rPr>
      </w:pPr>
    </w:p>
    <w:p w14:paraId="3985D344" w14:textId="615BA105" w:rsidR="005F49A3" w:rsidRPr="00392DD7" w:rsidRDefault="00392DD7" w:rsidP="00392DD7">
      <w:pPr>
        <w:pStyle w:val="title1"/>
        <w:shd w:val="clear" w:color="auto" w:fill="FFFFFF"/>
        <w:spacing w:line="360" w:lineRule="auto"/>
        <w:jc w:val="both"/>
        <w:rPr>
          <w:sz w:val="24"/>
          <w:szCs w:val="24"/>
        </w:rPr>
      </w:pPr>
      <w:r w:rsidRPr="00392DD7">
        <w:rPr>
          <w:bCs/>
          <w:sz w:val="24"/>
          <w:szCs w:val="24"/>
        </w:rPr>
        <w:t xml:space="preserve">4.- </w:t>
      </w:r>
      <w:r w:rsidR="005F49A3" w:rsidRPr="00392DD7">
        <w:rPr>
          <w:bCs/>
          <w:sz w:val="24"/>
          <w:szCs w:val="24"/>
        </w:rPr>
        <w:t>Gayraud J</w:t>
      </w:r>
      <w:r w:rsidR="005F49A3" w:rsidRPr="00392DD7">
        <w:rPr>
          <w:sz w:val="24"/>
          <w:szCs w:val="24"/>
        </w:rPr>
        <w:t xml:space="preserve">, Ramonatxo M, Rivier F, Humberclaude V, Petrof B, Matecki S. </w:t>
      </w:r>
      <w:hyperlink r:id="rId10" w:history="1">
        <w:r w:rsidR="005F49A3" w:rsidRPr="00392DD7">
          <w:rPr>
            <w:sz w:val="24"/>
            <w:szCs w:val="24"/>
          </w:rPr>
          <w:t>Ventilatory parameters and maximal respiratory pressure changes with age in Duchenne muscular dystrophy patients.</w:t>
        </w:r>
      </w:hyperlink>
      <w:r w:rsidR="005F49A3" w:rsidRPr="005F49A3">
        <w:rPr>
          <w:sz w:val="24"/>
          <w:szCs w:val="24"/>
        </w:rPr>
        <w:t xml:space="preserve"> </w:t>
      </w:r>
      <w:r w:rsidR="005F49A3" w:rsidRPr="005F49A3">
        <w:rPr>
          <w:rStyle w:val="jrnl"/>
          <w:sz w:val="24"/>
          <w:szCs w:val="24"/>
        </w:rPr>
        <w:t>Pediatr Pulmonol</w:t>
      </w:r>
      <w:r w:rsidR="005F49A3" w:rsidRPr="005F49A3">
        <w:rPr>
          <w:sz w:val="24"/>
          <w:szCs w:val="24"/>
        </w:rPr>
        <w:t>. 2010; 45: 552-</w:t>
      </w:r>
      <w:r>
        <w:rPr>
          <w:sz w:val="24"/>
          <w:szCs w:val="24"/>
        </w:rPr>
        <w:t>529.</w:t>
      </w:r>
    </w:p>
    <w:sectPr w:rsidR="005F49A3" w:rsidRPr="00392DD7" w:rsidSect="0082166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entury Gothic">
    <w:panose1 w:val="020B0502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001" w:csb1="00000000"/>
  </w:font>
  <w:font w:name="Arial">
    <w:panose1 w:val="020B06040202020202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A4014C"/>
    <w:multiLevelType w:val="hybridMultilevel"/>
    <w:tmpl w:val="CDE4231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71615F95"/>
    <w:multiLevelType w:val="hybridMultilevel"/>
    <w:tmpl w:val="5DDE7C18"/>
    <w:lvl w:ilvl="0" w:tplc="494E8824">
      <w:start w:val="1"/>
      <w:numFmt w:val="bullet"/>
      <w:lvlText w:val=""/>
      <w:lvlJc w:val="left"/>
      <w:pPr>
        <w:tabs>
          <w:tab w:val="num" w:pos="720"/>
        </w:tabs>
        <w:ind w:left="720" w:hanging="360"/>
      </w:pPr>
      <w:rPr>
        <w:rFonts w:ascii="Wingdings" w:hAnsi="Wingdings" w:hint="default"/>
      </w:rPr>
    </w:lvl>
    <w:lvl w:ilvl="1" w:tplc="5E929374" w:tentative="1">
      <w:start w:val="1"/>
      <w:numFmt w:val="bullet"/>
      <w:lvlText w:val=""/>
      <w:lvlJc w:val="left"/>
      <w:pPr>
        <w:tabs>
          <w:tab w:val="num" w:pos="1440"/>
        </w:tabs>
        <w:ind w:left="1440" w:hanging="360"/>
      </w:pPr>
      <w:rPr>
        <w:rFonts w:ascii="Wingdings" w:hAnsi="Wingdings" w:hint="default"/>
      </w:rPr>
    </w:lvl>
    <w:lvl w:ilvl="2" w:tplc="4A4482A2">
      <w:start w:val="1"/>
      <w:numFmt w:val="bullet"/>
      <w:lvlText w:val=""/>
      <w:lvlJc w:val="left"/>
      <w:pPr>
        <w:tabs>
          <w:tab w:val="num" w:pos="2160"/>
        </w:tabs>
        <w:ind w:left="2160" w:hanging="360"/>
      </w:pPr>
      <w:rPr>
        <w:rFonts w:ascii="Wingdings" w:hAnsi="Wingdings" w:hint="default"/>
      </w:rPr>
    </w:lvl>
    <w:lvl w:ilvl="3" w:tplc="1CE61CF2">
      <w:start w:val="199"/>
      <w:numFmt w:val="bullet"/>
      <w:lvlText w:val=""/>
      <w:lvlJc w:val="left"/>
      <w:pPr>
        <w:tabs>
          <w:tab w:val="num" w:pos="2880"/>
        </w:tabs>
        <w:ind w:left="2880" w:hanging="360"/>
      </w:pPr>
      <w:rPr>
        <w:rFonts w:ascii="Wingdings" w:hAnsi="Wingdings" w:hint="default"/>
      </w:rPr>
    </w:lvl>
    <w:lvl w:ilvl="4" w:tplc="F9561D7A" w:tentative="1">
      <w:start w:val="1"/>
      <w:numFmt w:val="bullet"/>
      <w:lvlText w:val=""/>
      <w:lvlJc w:val="left"/>
      <w:pPr>
        <w:tabs>
          <w:tab w:val="num" w:pos="3600"/>
        </w:tabs>
        <w:ind w:left="3600" w:hanging="360"/>
      </w:pPr>
      <w:rPr>
        <w:rFonts w:ascii="Wingdings" w:hAnsi="Wingdings" w:hint="default"/>
      </w:rPr>
    </w:lvl>
    <w:lvl w:ilvl="5" w:tplc="4CB07C68" w:tentative="1">
      <w:start w:val="1"/>
      <w:numFmt w:val="bullet"/>
      <w:lvlText w:val=""/>
      <w:lvlJc w:val="left"/>
      <w:pPr>
        <w:tabs>
          <w:tab w:val="num" w:pos="4320"/>
        </w:tabs>
        <w:ind w:left="4320" w:hanging="360"/>
      </w:pPr>
      <w:rPr>
        <w:rFonts w:ascii="Wingdings" w:hAnsi="Wingdings" w:hint="default"/>
      </w:rPr>
    </w:lvl>
    <w:lvl w:ilvl="6" w:tplc="38F682D6" w:tentative="1">
      <w:start w:val="1"/>
      <w:numFmt w:val="bullet"/>
      <w:lvlText w:val=""/>
      <w:lvlJc w:val="left"/>
      <w:pPr>
        <w:tabs>
          <w:tab w:val="num" w:pos="5040"/>
        </w:tabs>
        <w:ind w:left="5040" w:hanging="360"/>
      </w:pPr>
      <w:rPr>
        <w:rFonts w:ascii="Wingdings" w:hAnsi="Wingdings" w:hint="default"/>
      </w:rPr>
    </w:lvl>
    <w:lvl w:ilvl="7" w:tplc="B15A7058" w:tentative="1">
      <w:start w:val="1"/>
      <w:numFmt w:val="bullet"/>
      <w:lvlText w:val=""/>
      <w:lvlJc w:val="left"/>
      <w:pPr>
        <w:tabs>
          <w:tab w:val="num" w:pos="5760"/>
        </w:tabs>
        <w:ind w:left="5760" w:hanging="360"/>
      </w:pPr>
      <w:rPr>
        <w:rFonts w:ascii="Wingdings" w:hAnsi="Wingdings" w:hint="default"/>
      </w:rPr>
    </w:lvl>
    <w:lvl w:ilvl="8" w:tplc="53B6D60C" w:tentative="1">
      <w:start w:val="1"/>
      <w:numFmt w:val="bullet"/>
      <w:lvlText w:val=""/>
      <w:lvlJc w:val="left"/>
      <w:pPr>
        <w:tabs>
          <w:tab w:val="num" w:pos="6480"/>
        </w:tabs>
        <w:ind w:left="6480" w:hanging="360"/>
      </w:pPr>
      <w:rPr>
        <w:rFonts w:ascii="Wingdings" w:hAnsi="Wingdings" w:hint="default"/>
      </w:rPr>
    </w:lvl>
  </w:abstractNum>
  <w:abstractNum w:abstractNumId="2">
    <w:nsid w:val="7FA05FEC"/>
    <w:multiLevelType w:val="hybridMultilevel"/>
    <w:tmpl w:val="3F9CB28E"/>
    <w:lvl w:ilvl="0" w:tplc="826A98A4">
      <w:start w:val="1"/>
      <w:numFmt w:val="bullet"/>
      <w:lvlText w:val=""/>
      <w:lvlJc w:val="left"/>
      <w:pPr>
        <w:tabs>
          <w:tab w:val="num" w:pos="1776"/>
        </w:tabs>
        <w:ind w:left="1776" w:hanging="360"/>
      </w:pPr>
      <w:rPr>
        <w:rFonts w:ascii="Wingdings" w:hAnsi="Wingdings" w:hint="default"/>
      </w:rPr>
    </w:lvl>
    <w:lvl w:ilvl="1" w:tplc="52864298">
      <w:start w:val="169"/>
      <w:numFmt w:val="bullet"/>
      <w:lvlText w:val=""/>
      <w:lvlJc w:val="left"/>
      <w:pPr>
        <w:tabs>
          <w:tab w:val="num" w:pos="2496"/>
        </w:tabs>
        <w:ind w:left="2496" w:hanging="360"/>
      </w:pPr>
      <w:rPr>
        <w:rFonts w:ascii="Wingdings" w:hAnsi="Wingdings" w:hint="default"/>
      </w:rPr>
    </w:lvl>
    <w:lvl w:ilvl="2" w:tplc="2F88CFD8">
      <w:start w:val="169"/>
      <w:numFmt w:val="bullet"/>
      <w:lvlText w:val=""/>
      <w:lvlJc w:val="left"/>
      <w:pPr>
        <w:tabs>
          <w:tab w:val="num" w:pos="3216"/>
        </w:tabs>
        <w:ind w:left="3216" w:hanging="360"/>
      </w:pPr>
      <w:rPr>
        <w:rFonts w:ascii="Wingdings" w:hAnsi="Wingdings" w:hint="default"/>
      </w:rPr>
    </w:lvl>
    <w:lvl w:ilvl="3" w:tplc="4CCA7442" w:tentative="1">
      <w:start w:val="1"/>
      <w:numFmt w:val="bullet"/>
      <w:lvlText w:val=""/>
      <w:lvlJc w:val="left"/>
      <w:pPr>
        <w:tabs>
          <w:tab w:val="num" w:pos="3936"/>
        </w:tabs>
        <w:ind w:left="3936" w:hanging="360"/>
      </w:pPr>
      <w:rPr>
        <w:rFonts w:ascii="Wingdings" w:hAnsi="Wingdings" w:hint="default"/>
      </w:rPr>
    </w:lvl>
    <w:lvl w:ilvl="4" w:tplc="92BE23AC" w:tentative="1">
      <w:start w:val="1"/>
      <w:numFmt w:val="bullet"/>
      <w:lvlText w:val=""/>
      <w:lvlJc w:val="left"/>
      <w:pPr>
        <w:tabs>
          <w:tab w:val="num" w:pos="4656"/>
        </w:tabs>
        <w:ind w:left="4656" w:hanging="360"/>
      </w:pPr>
      <w:rPr>
        <w:rFonts w:ascii="Wingdings" w:hAnsi="Wingdings" w:hint="default"/>
      </w:rPr>
    </w:lvl>
    <w:lvl w:ilvl="5" w:tplc="E1FABC02" w:tentative="1">
      <w:start w:val="1"/>
      <w:numFmt w:val="bullet"/>
      <w:lvlText w:val=""/>
      <w:lvlJc w:val="left"/>
      <w:pPr>
        <w:tabs>
          <w:tab w:val="num" w:pos="5376"/>
        </w:tabs>
        <w:ind w:left="5376" w:hanging="360"/>
      </w:pPr>
      <w:rPr>
        <w:rFonts w:ascii="Wingdings" w:hAnsi="Wingdings" w:hint="default"/>
      </w:rPr>
    </w:lvl>
    <w:lvl w:ilvl="6" w:tplc="463283AC" w:tentative="1">
      <w:start w:val="1"/>
      <w:numFmt w:val="bullet"/>
      <w:lvlText w:val=""/>
      <w:lvlJc w:val="left"/>
      <w:pPr>
        <w:tabs>
          <w:tab w:val="num" w:pos="6096"/>
        </w:tabs>
        <w:ind w:left="6096" w:hanging="360"/>
      </w:pPr>
      <w:rPr>
        <w:rFonts w:ascii="Wingdings" w:hAnsi="Wingdings" w:hint="default"/>
      </w:rPr>
    </w:lvl>
    <w:lvl w:ilvl="7" w:tplc="01FECD26" w:tentative="1">
      <w:start w:val="1"/>
      <w:numFmt w:val="bullet"/>
      <w:lvlText w:val=""/>
      <w:lvlJc w:val="left"/>
      <w:pPr>
        <w:tabs>
          <w:tab w:val="num" w:pos="6816"/>
        </w:tabs>
        <w:ind w:left="6816" w:hanging="360"/>
      </w:pPr>
      <w:rPr>
        <w:rFonts w:ascii="Wingdings" w:hAnsi="Wingdings" w:hint="default"/>
      </w:rPr>
    </w:lvl>
    <w:lvl w:ilvl="8" w:tplc="B9AEF894" w:tentative="1">
      <w:start w:val="1"/>
      <w:numFmt w:val="bullet"/>
      <w:lvlText w:val=""/>
      <w:lvlJc w:val="left"/>
      <w:pPr>
        <w:tabs>
          <w:tab w:val="num" w:pos="7536"/>
        </w:tabs>
        <w:ind w:left="7536"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3E8"/>
    <w:rsid w:val="00004A75"/>
    <w:rsid w:val="00054DFA"/>
    <w:rsid w:val="000658BC"/>
    <w:rsid w:val="000903E8"/>
    <w:rsid w:val="000B0F58"/>
    <w:rsid w:val="000D21D1"/>
    <w:rsid w:val="00106568"/>
    <w:rsid w:val="0013485D"/>
    <w:rsid w:val="001F57E8"/>
    <w:rsid w:val="003329B9"/>
    <w:rsid w:val="00392DD7"/>
    <w:rsid w:val="00491814"/>
    <w:rsid w:val="00544A84"/>
    <w:rsid w:val="005755F8"/>
    <w:rsid w:val="005F49A3"/>
    <w:rsid w:val="006E7956"/>
    <w:rsid w:val="007176F3"/>
    <w:rsid w:val="007A49B3"/>
    <w:rsid w:val="007D00C5"/>
    <w:rsid w:val="0082166E"/>
    <w:rsid w:val="00915DC0"/>
    <w:rsid w:val="00997646"/>
    <w:rsid w:val="00AB6B9E"/>
    <w:rsid w:val="00AE2AF5"/>
    <w:rsid w:val="00B373CA"/>
    <w:rsid w:val="00D765A0"/>
    <w:rsid w:val="00DA633A"/>
    <w:rsid w:val="00EB271B"/>
    <w:rsid w:val="00FC0DB9"/>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BB12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3E8"/>
    <w:rPr>
      <w:sz w:val="24"/>
      <w:szCs w:val="24"/>
    </w:rPr>
  </w:style>
  <w:style w:type="paragraph" w:styleId="Ttulo1">
    <w:name w:val="heading 1"/>
    <w:basedOn w:val="Normal"/>
    <w:next w:val="Normal"/>
    <w:link w:val="Ttulo1Car"/>
    <w:qFormat/>
    <w:rsid w:val="00997646"/>
    <w:pPr>
      <w:keepNext/>
      <w:outlineLvl w:val="0"/>
    </w:pPr>
    <w:rPr>
      <w:rFonts w:ascii="Century Gothic" w:hAnsi="Century Gothic"/>
      <w:b/>
      <w:i/>
      <w:sz w:val="20"/>
    </w:rPr>
  </w:style>
  <w:style w:type="paragraph" w:styleId="Ttulo2">
    <w:name w:val="heading 2"/>
    <w:basedOn w:val="Normal"/>
    <w:next w:val="Normal"/>
    <w:link w:val="Ttulo2Car"/>
    <w:qFormat/>
    <w:rsid w:val="00997646"/>
    <w:pPr>
      <w:keepNext/>
      <w:widowControl w:val="0"/>
      <w:tabs>
        <w:tab w:val="left" w:pos="0"/>
      </w:tabs>
      <w:spacing w:after="58"/>
      <w:outlineLvl w:val="1"/>
    </w:pPr>
    <w:rPr>
      <w:i/>
      <w:snapToGrid w:val="0"/>
      <w:sz w:val="20"/>
      <w:szCs w:val="20"/>
      <w:lang w:val="es-ES_tradnl"/>
    </w:rPr>
  </w:style>
  <w:style w:type="paragraph" w:styleId="Ttulo3">
    <w:name w:val="heading 3"/>
    <w:basedOn w:val="Normal"/>
    <w:next w:val="Normal"/>
    <w:link w:val="Ttulo3Car"/>
    <w:qFormat/>
    <w:rsid w:val="00997646"/>
    <w:pPr>
      <w:keepNext/>
      <w:widowControl w:val="0"/>
      <w:tabs>
        <w:tab w:val="left" w:pos="0"/>
        <w:tab w:val="left" w:pos="1440"/>
        <w:tab w:val="left" w:pos="2160"/>
        <w:tab w:val="left" w:pos="2880"/>
        <w:tab w:val="left" w:leader="dot" w:pos="9868"/>
      </w:tabs>
      <w:jc w:val="both"/>
      <w:outlineLvl w:val="2"/>
    </w:pPr>
    <w:rPr>
      <w:i/>
      <w:snapToGrid w:val="0"/>
      <w:sz w:val="22"/>
      <w:szCs w:val="20"/>
      <w:lang w:val="en-US"/>
    </w:rPr>
  </w:style>
  <w:style w:type="paragraph" w:styleId="Ttulo4">
    <w:name w:val="heading 4"/>
    <w:basedOn w:val="Normal"/>
    <w:next w:val="Normal"/>
    <w:link w:val="Ttulo4Car"/>
    <w:qFormat/>
    <w:rsid w:val="00997646"/>
    <w:pPr>
      <w:keepNext/>
      <w:outlineLvl w:val="3"/>
    </w:pPr>
    <w:rPr>
      <w:rFonts w:ascii="Century Gothic" w:hAnsi="Century Gothic"/>
      <w:b/>
      <w:i/>
    </w:rPr>
  </w:style>
  <w:style w:type="paragraph" w:styleId="Ttulo5">
    <w:name w:val="heading 5"/>
    <w:basedOn w:val="Normal"/>
    <w:next w:val="Normal"/>
    <w:link w:val="Ttulo5Car"/>
    <w:qFormat/>
    <w:rsid w:val="00997646"/>
    <w:pPr>
      <w:keepNext/>
      <w:outlineLvl w:val="4"/>
    </w:pPr>
    <w:rPr>
      <w:b/>
      <w:sz w:val="20"/>
      <w:szCs w:val="20"/>
    </w:rPr>
  </w:style>
  <w:style w:type="paragraph" w:styleId="Ttulo6">
    <w:name w:val="heading 6"/>
    <w:basedOn w:val="Normal"/>
    <w:next w:val="Normal"/>
    <w:link w:val="Ttulo6Car"/>
    <w:qFormat/>
    <w:rsid w:val="00997646"/>
    <w:pPr>
      <w:keepNext/>
      <w:jc w:val="center"/>
      <w:outlineLvl w:val="5"/>
    </w:pPr>
    <w:rPr>
      <w:rFonts w:ascii="Century Gothic" w:hAnsi="Century Gothic"/>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997646"/>
    <w:rPr>
      <w:rFonts w:ascii="Century Gothic" w:hAnsi="Century Gothic"/>
      <w:b/>
      <w:i/>
      <w:szCs w:val="24"/>
    </w:rPr>
  </w:style>
  <w:style w:type="character" w:customStyle="1" w:styleId="Ttulo2Car">
    <w:name w:val="Título 2 Car"/>
    <w:basedOn w:val="Fuentedeprrafopredeter"/>
    <w:link w:val="Ttulo2"/>
    <w:rsid w:val="00997646"/>
    <w:rPr>
      <w:i/>
      <w:snapToGrid w:val="0"/>
      <w:lang w:val="es-ES_tradnl"/>
    </w:rPr>
  </w:style>
  <w:style w:type="character" w:customStyle="1" w:styleId="Ttulo3Car">
    <w:name w:val="Título 3 Car"/>
    <w:basedOn w:val="Fuentedeprrafopredeter"/>
    <w:link w:val="Ttulo3"/>
    <w:rsid w:val="00997646"/>
    <w:rPr>
      <w:i/>
      <w:snapToGrid w:val="0"/>
      <w:sz w:val="22"/>
      <w:lang w:val="en-US"/>
    </w:rPr>
  </w:style>
  <w:style w:type="character" w:customStyle="1" w:styleId="Ttulo4Car">
    <w:name w:val="Título 4 Car"/>
    <w:basedOn w:val="Fuentedeprrafopredeter"/>
    <w:link w:val="Ttulo4"/>
    <w:rsid w:val="00997646"/>
    <w:rPr>
      <w:rFonts w:ascii="Century Gothic" w:hAnsi="Century Gothic"/>
      <w:b/>
      <w:i/>
      <w:sz w:val="24"/>
      <w:szCs w:val="24"/>
    </w:rPr>
  </w:style>
  <w:style w:type="character" w:customStyle="1" w:styleId="Ttulo5Car">
    <w:name w:val="Título 5 Car"/>
    <w:basedOn w:val="Fuentedeprrafopredeter"/>
    <w:link w:val="Ttulo5"/>
    <w:rsid w:val="00997646"/>
    <w:rPr>
      <w:b/>
    </w:rPr>
  </w:style>
  <w:style w:type="character" w:customStyle="1" w:styleId="Ttulo6Car">
    <w:name w:val="Título 6 Car"/>
    <w:basedOn w:val="Fuentedeprrafopredeter"/>
    <w:link w:val="Ttulo6"/>
    <w:rsid w:val="00997646"/>
    <w:rPr>
      <w:rFonts w:ascii="Century Gothic" w:hAnsi="Century Gothic"/>
      <w:b/>
      <w:bCs/>
      <w:sz w:val="24"/>
      <w:szCs w:val="24"/>
    </w:rPr>
  </w:style>
  <w:style w:type="paragraph" w:styleId="Prrafodelista">
    <w:name w:val="List Paragraph"/>
    <w:basedOn w:val="Normal"/>
    <w:uiPriority w:val="34"/>
    <w:qFormat/>
    <w:rsid w:val="005F49A3"/>
    <w:pPr>
      <w:spacing w:after="200" w:line="276" w:lineRule="auto"/>
      <w:ind w:left="720"/>
      <w:contextualSpacing/>
    </w:pPr>
    <w:rPr>
      <w:rFonts w:ascii="Calibri" w:hAnsi="Calibri"/>
      <w:sz w:val="22"/>
      <w:szCs w:val="22"/>
    </w:rPr>
  </w:style>
  <w:style w:type="paragraph" w:customStyle="1" w:styleId="title1">
    <w:name w:val="title1"/>
    <w:basedOn w:val="Normal"/>
    <w:rsid w:val="005F49A3"/>
    <w:rPr>
      <w:sz w:val="27"/>
      <w:szCs w:val="27"/>
    </w:rPr>
  </w:style>
  <w:style w:type="paragraph" w:customStyle="1" w:styleId="desc2">
    <w:name w:val="desc2"/>
    <w:basedOn w:val="Normal"/>
    <w:rsid w:val="005F49A3"/>
    <w:rPr>
      <w:sz w:val="26"/>
      <w:szCs w:val="26"/>
    </w:rPr>
  </w:style>
  <w:style w:type="paragraph" w:customStyle="1" w:styleId="details1">
    <w:name w:val="details1"/>
    <w:basedOn w:val="Normal"/>
    <w:rsid w:val="005F49A3"/>
    <w:rPr>
      <w:sz w:val="22"/>
      <w:szCs w:val="22"/>
    </w:rPr>
  </w:style>
  <w:style w:type="character" w:customStyle="1" w:styleId="jrnl">
    <w:name w:val="jrnl"/>
    <w:basedOn w:val="Fuentedeprrafopredeter"/>
    <w:rsid w:val="005F49A3"/>
  </w:style>
  <w:style w:type="paragraph" w:styleId="Textodeglobo">
    <w:name w:val="Balloon Text"/>
    <w:basedOn w:val="Normal"/>
    <w:link w:val="TextodegloboCar"/>
    <w:uiPriority w:val="99"/>
    <w:semiHidden/>
    <w:unhideWhenUsed/>
    <w:rsid w:val="006E7956"/>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6E7956"/>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3E8"/>
    <w:rPr>
      <w:sz w:val="24"/>
      <w:szCs w:val="24"/>
    </w:rPr>
  </w:style>
  <w:style w:type="paragraph" w:styleId="Ttulo1">
    <w:name w:val="heading 1"/>
    <w:basedOn w:val="Normal"/>
    <w:next w:val="Normal"/>
    <w:link w:val="Ttulo1Car"/>
    <w:qFormat/>
    <w:rsid w:val="00997646"/>
    <w:pPr>
      <w:keepNext/>
      <w:outlineLvl w:val="0"/>
    </w:pPr>
    <w:rPr>
      <w:rFonts w:ascii="Century Gothic" w:hAnsi="Century Gothic"/>
      <w:b/>
      <w:i/>
      <w:sz w:val="20"/>
    </w:rPr>
  </w:style>
  <w:style w:type="paragraph" w:styleId="Ttulo2">
    <w:name w:val="heading 2"/>
    <w:basedOn w:val="Normal"/>
    <w:next w:val="Normal"/>
    <w:link w:val="Ttulo2Car"/>
    <w:qFormat/>
    <w:rsid w:val="00997646"/>
    <w:pPr>
      <w:keepNext/>
      <w:widowControl w:val="0"/>
      <w:tabs>
        <w:tab w:val="left" w:pos="0"/>
      </w:tabs>
      <w:spacing w:after="58"/>
      <w:outlineLvl w:val="1"/>
    </w:pPr>
    <w:rPr>
      <w:i/>
      <w:snapToGrid w:val="0"/>
      <w:sz w:val="20"/>
      <w:szCs w:val="20"/>
      <w:lang w:val="es-ES_tradnl"/>
    </w:rPr>
  </w:style>
  <w:style w:type="paragraph" w:styleId="Ttulo3">
    <w:name w:val="heading 3"/>
    <w:basedOn w:val="Normal"/>
    <w:next w:val="Normal"/>
    <w:link w:val="Ttulo3Car"/>
    <w:qFormat/>
    <w:rsid w:val="00997646"/>
    <w:pPr>
      <w:keepNext/>
      <w:widowControl w:val="0"/>
      <w:tabs>
        <w:tab w:val="left" w:pos="0"/>
        <w:tab w:val="left" w:pos="1440"/>
        <w:tab w:val="left" w:pos="2160"/>
        <w:tab w:val="left" w:pos="2880"/>
        <w:tab w:val="left" w:leader="dot" w:pos="9868"/>
      </w:tabs>
      <w:jc w:val="both"/>
      <w:outlineLvl w:val="2"/>
    </w:pPr>
    <w:rPr>
      <w:i/>
      <w:snapToGrid w:val="0"/>
      <w:sz w:val="22"/>
      <w:szCs w:val="20"/>
      <w:lang w:val="en-US"/>
    </w:rPr>
  </w:style>
  <w:style w:type="paragraph" w:styleId="Ttulo4">
    <w:name w:val="heading 4"/>
    <w:basedOn w:val="Normal"/>
    <w:next w:val="Normal"/>
    <w:link w:val="Ttulo4Car"/>
    <w:qFormat/>
    <w:rsid w:val="00997646"/>
    <w:pPr>
      <w:keepNext/>
      <w:outlineLvl w:val="3"/>
    </w:pPr>
    <w:rPr>
      <w:rFonts w:ascii="Century Gothic" w:hAnsi="Century Gothic"/>
      <w:b/>
      <w:i/>
    </w:rPr>
  </w:style>
  <w:style w:type="paragraph" w:styleId="Ttulo5">
    <w:name w:val="heading 5"/>
    <w:basedOn w:val="Normal"/>
    <w:next w:val="Normal"/>
    <w:link w:val="Ttulo5Car"/>
    <w:qFormat/>
    <w:rsid w:val="00997646"/>
    <w:pPr>
      <w:keepNext/>
      <w:outlineLvl w:val="4"/>
    </w:pPr>
    <w:rPr>
      <w:b/>
      <w:sz w:val="20"/>
      <w:szCs w:val="20"/>
    </w:rPr>
  </w:style>
  <w:style w:type="paragraph" w:styleId="Ttulo6">
    <w:name w:val="heading 6"/>
    <w:basedOn w:val="Normal"/>
    <w:next w:val="Normal"/>
    <w:link w:val="Ttulo6Car"/>
    <w:qFormat/>
    <w:rsid w:val="00997646"/>
    <w:pPr>
      <w:keepNext/>
      <w:jc w:val="center"/>
      <w:outlineLvl w:val="5"/>
    </w:pPr>
    <w:rPr>
      <w:rFonts w:ascii="Century Gothic" w:hAnsi="Century Gothic"/>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997646"/>
    <w:rPr>
      <w:rFonts w:ascii="Century Gothic" w:hAnsi="Century Gothic"/>
      <w:b/>
      <w:i/>
      <w:szCs w:val="24"/>
    </w:rPr>
  </w:style>
  <w:style w:type="character" w:customStyle="1" w:styleId="Ttulo2Car">
    <w:name w:val="Título 2 Car"/>
    <w:basedOn w:val="Fuentedeprrafopredeter"/>
    <w:link w:val="Ttulo2"/>
    <w:rsid w:val="00997646"/>
    <w:rPr>
      <w:i/>
      <w:snapToGrid w:val="0"/>
      <w:lang w:val="es-ES_tradnl"/>
    </w:rPr>
  </w:style>
  <w:style w:type="character" w:customStyle="1" w:styleId="Ttulo3Car">
    <w:name w:val="Título 3 Car"/>
    <w:basedOn w:val="Fuentedeprrafopredeter"/>
    <w:link w:val="Ttulo3"/>
    <w:rsid w:val="00997646"/>
    <w:rPr>
      <w:i/>
      <w:snapToGrid w:val="0"/>
      <w:sz w:val="22"/>
      <w:lang w:val="en-US"/>
    </w:rPr>
  </w:style>
  <w:style w:type="character" w:customStyle="1" w:styleId="Ttulo4Car">
    <w:name w:val="Título 4 Car"/>
    <w:basedOn w:val="Fuentedeprrafopredeter"/>
    <w:link w:val="Ttulo4"/>
    <w:rsid w:val="00997646"/>
    <w:rPr>
      <w:rFonts w:ascii="Century Gothic" w:hAnsi="Century Gothic"/>
      <w:b/>
      <w:i/>
      <w:sz w:val="24"/>
      <w:szCs w:val="24"/>
    </w:rPr>
  </w:style>
  <w:style w:type="character" w:customStyle="1" w:styleId="Ttulo5Car">
    <w:name w:val="Título 5 Car"/>
    <w:basedOn w:val="Fuentedeprrafopredeter"/>
    <w:link w:val="Ttulo5"/>
    <w:rsid w:val="00997646"/>
    <w:rPr>
      <w:b/>
    </w:rPr>
  </w:style>
  <w:style w:type="character" w:customStyle="1" w:styleId="Ttulo6Car">
    <w:name w:val="Título 6 Car"/>
    <w:basedOn w:val="Fuentedeprrafopredeter"/>
    <w:link w:val="Ttulo6"/>
    <w:rsid w:val="00997646"/>
    <w:rPr>
      <w:rFonts w:ascii="Century Gothic" w:hAnsi="Century Gothic"/>
      <w:b/>
      <w:bCs/>
      <w:sz w:val="24"/>
      <w:szCs w:val="24"/>
    </w:rPr>
  </w:style>
  <w:style w:type="paragraph" w:styleId="Prrafodelista">
    <w:name w:val="List Paragraph"/>
    <w:basedOn w:val="Normal"/>
    <w:uiPriority w:val="34"/>
    <w:qFormat/>
    <w:rsid w:val="005F49A3"/>
    <w:pPr>
      <w:spacing w:after="200" w:line="276" w:lineRule="auto"/>
      <w:ind w:left="720"/>
      <w:contextualSpacing/>
    </w:pPr>
    <w:rPr>
      <w:rFonts w:ascii="Calibri" w:hAnsi="Calibri"/>
      <w:sz w:val="22"/>
      <w:szCs w:val="22"/>
    </w:rPr>
  </w:style>
  <w:style w:type="paragraph" w:customStyle="1" w:styleId="title1">
    <w:name w:val="title1"/>
    <w:basedOn w:val="Normal"/>
    <w:rsid w:val="005F49A3"/>
    <w:rPr>
      <w:sz w:val="27"/>
      <w:szCs w:val="27"/>
    </w:rPr>
  </w:style>
  <w:style w:type="paragraph" w:customStyle="1" w:styleId="desc2">
    <w:name w:val="desc2"/>
    <w:basedOn w:val="Normal"/>
    <w:rsid w:val="005F49A3"/>
    <w:rPr>
      <w:sz w:val="26"/>
      <w:szCs w:val="26"/>
    </w:rPr>
  </w:style>
  <w:style w:type="paragraph" w:customStyle="1" w:styleId="details1">
    <w:name w:val="details1"/>
    <w:basedOn w:val="Normal"/>
    <w:rsid w:val="005F49A3"/>
    <w:rPr>
      <w:sz w:val="22"/>
      <w:szCs w:val="22"/>
    </w:rPr>
  </w:style>
  <w:style w:type="character" w:customStyle="1" w:styleId="jrnl">
    <w:name w:val="jrnl"/>
    <w:basedOn w:val="Fuentedeprrafopredeter"/>
    <w:rsid w:val="005F49A3"/>
  </w:style>
  <w:style w:type="paragraph" w:styleId="Textodeglobo">
    <w:name w:val="Balloon Text"/>
    <w:basedOn w:val="Normal"/>
    <w:link w:val="TextodegloboCar"/>
    <w:uiPriority w:val="99"/>
    <w:semiHidden/>
    <w:unhideWhenUsed/>
    <w:rsid w:val="006E7956"/>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6E7956"/>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9555110">
      <w:bodyDiv w:val="1"/>
      <w:marLeft w:val="0"/>
      <w:marRight w:val="0"/>
      <w:marTop w:val="0"/>
      <w:marBottom w:val="0"/>
      <w:divBdr>
        <w:top w:val="none" w:sz="0" w:space="0" w:color="auto"/>
        <w:left w:val="none" w:sz="0" w:space="0" w:color="auto"/>
        <w:bottom w:val="none" w:sz="0" w:space="0" w:color="auto"/>
        <w:right w:val="none" w:sz="0" w:space="0" w:color="auto"/>
      </w:divBdr>
      <w:divsChild>
        <w:div w:id="1501657019">
          <w:marLeft w:val="0"/>
          <w:marRight w:val="1"/>
          <w:marTop w:val="0"/>
          <w:marBottom w:val="0"/>
          <w:divBdr>
            <w:top w:val="none" w:sz="0" w:space="0" w:color="auto"/>
            <w:left w:val="none" w:sz="0" w:space="0" w:color="auto"/>
            <w:bottom w:val="none" w:sz="0" w:space="0" w:color="auto"/>
            <w:right w:val="none" w:sz="0" w:space="0" w:color="auto"/>
          </w:divBdr>
          <w:divsChild>
            <w:div w:id="1407917888">
              <w:marLeft w:val="0"/>
              <w:marRight w:val="0"/>
              <w:marTop w:val="0"/>
              <w:marBottom w:val="0"/>
              <w:divBdr>
                <w:top w:val="none" w:sz="0" w:space="0" w:color="auto"/>
                <w:left w:val="none" w:sz="0" w:space="0" w:color="auto"/>
                <w:bottom w:val="none" w:sz="0" w:space="0" w:color="auto"/>
                <w:right w:val="none" w:sz="0" w:space="0" w:color="auto"/>
              </w:divBdr>
              <w:divsChild>
                <w:div w:id="1222330245">
                  <w:marLeft w:val="0"/>
                  <w:marRight w:val="1"/>
                  <w:marTop w:val="0"/>
                  <w:marBottom w:val="0"/>
                  <w:divBdr>
                    <w:top w:val="none" w:sz="0" w:space="0" w:color="auto"/>
                    <w:left w:val="none" w:sz="0" w:space="0" w:color="auto"/>
                    <w:bottom w:val="none" w:sz="0" w:space="0" w:color="auto"/>
                    <w:right w:val="none" w:sz="0" w:space="0" w:color="auto"/>
                  </w:divBdr>
                  <w:divsChild>
                    <w:div w:id="1525948093">
                      <w:marLeft w:val="0"/>
                      <w:marRight w:val="0"/>
                      <w:marTop w:val="0"/>
                      <w:marBottom w:val="0"/>
                      <w:divBdr>
                        <w:top w:val="none" w:sz="0" w:space="0" w:color="auto"/>
                        <w:left w:val="none" w:sz="0" w:space="0" w:color="auto"/>
                        <w:bottom w:val="none" w:sz="0" w:space="0" w:color="auto"/>
                        <w:right w:val="none" w:sz="0" w:space="0" w:color="auto"/>
                      </w:divBdr>
                      <w:divsChild>
                        <w:div w:id="844327172">
                          <w:marLeft w:val="0"/>
                          <w:marRight w:val="0"/>
                          <w:marTop w:val="0"/>
                          <w:marBottom w:val="0"/>
                          <w:divBdr>
                            <w:top w:val="none" w:sz="0" w:space="0" w:color="auto"/>
                            <w:left w:val="none" w:sz="0" w:space="0" w:color="auto"/>
                            <w:bottom w:val="none" w:sz="0" w:space="0" w:color="auto"/>
                            <w:right w:val="none" w:sz="0" w:space="0" w:color="auto"/>
                          </w:divBdr>
                          <w:divsChild>
                            <w:div w:id="435563698">
                              <w:marLeft w:val="0"/>
                              <w:marRight w:val="0"/>
                              <w:marTop w:val="120"/>
                              <w:marBottom w:val="360"/>
                              <w:divBdr>
                                <w:top w:val="none" w:sz="0" w:space="0" w:color="auto"/>
                                <w:left w:val="none" w:sz="0" w:space="0" w:color="auto"/>
                                <w:bottom w:val="none" w:sz="0" w:space="0" w:color="auto"/>
                                <w:right w:val="none" w:sz="0" w:space="0" w:color="auto"/>
                              </w:divBdr>
                              <w:divsChild>
                                <w:div w:id="303317311">
                                  <w:marLeft w:val="280"/>
                                  <w:marRight w:val="0"/>
                                  <w:marTop w:val="0"/>
                                  <w:marBottom w:val="0"/>
                                  <w:divBdr>
                                    <w:top w:val="none" w:sz="0" w:space="0" w:color="auto"/>
                                    <w:left w:val="none" w:sz="0" w:space="0" w:color="auto"/>
                                    <w:bottom w:val="none" w:sz="0" w:space="0" w:color="auto"/>
                                    <w:right w:val="none" w:sz="0" w:space="0" w:color="auto"/>
                                  </w:divBdr>
                                  <w:divsChild>
                                    <w:div w:id="1170564884">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6552668">
      <w:bodyDiv w:val="1"/>
      <w:marLeft w:val="0"/>
      <w:marRight w:val="0"/>
      <w:marTop w:val="0"/>
      <w:marBottom w:val="0"/>
      <w:divBdr>
        <w:top w:val="none" w:sz="0" w:space="0" w:color="auto"/>
        <w:left w:val="none" w:sz="0" w:space="0" w:color="auto"/>
        <w:bottom w:val="none" w:sz="0" w:space="0" w:color="auto"/>
        <w:right w:val="none" w:sz="0" w:space="0" w:color="auto"/>
      </w:divBdr>
      <w:divsChild>
        <w:div w:id="550923391">
          <w:marLeft w:val="0"/>
          <w:marRight w:val="1"/>
          <w:marTop w:val="0"/>
          <w:marBottom w:val="0"/>
          <w:divBdr>
            <w:top w:val="none" w:sz="0" w:space="0" w:color="auto"/>
            <w:left w:val="none" w:sz="0" w:space="0" w:color="auto"/>
            <w:bottom w:val="none" w:sz="0" w:space="0" w:color="auto"/>
            <w:right w:val="none" w:sz="0" w:space="0" w:color="auto"/>
          </w:divBdr>
          <w:divsChild>
            <w:div w:id="1177889172">
              <w:marLeft w:val="0"/>
              <w:marRight w:val="0"/>
              <w:marTop w:val="0"/>
              <w:marBottom w:val="0"/>
              <w:divBdr>
                <w:top w:val="none" w:sz="0" w:space="0" w:color="auto"/>
                <w:left w:val="none" w:sz="0" w:space="0" w:color="auto"/>
                <w:bottom w:val="none" w:sz="0" w:space="0" w:color="auto"/>
                <w:right w:val="none" w:sz="0" w:space="0" w:color="auto"/>
              </w:divBdr>
              <w:divsChild>
                <w:div w:id="910118983">
                  <w:marLeft w:val="0"/>
                  <w:marRight w:val="1"/>
                  <w:marTop w:val="0"/>
                  <w:marBottom w:val="0"/>
                  <w:divBdr>
                    <w:top w:val="none" w:sz="0" w:space="0" w:color="auto"/>
                    <w:left w:val="none" w:sz="0" w:space="0" w:color="auto"/>
                    <w:bottom w:val="none" w:sz="0" w:space="0" w:color="auto"/>
                    <w:right w:val="none" w:sz="0" w:space="0" w:color="auto"/>
                  </w:divBdr>
                  <w:divsChild>
                    <w:div w:id="1169952714">
                      <w:marLeft w:val="0"/>
                      <w:marRight w:val="0"/>
                      <w:marTop w:val="0"/>
                      <w:marBottom w:val="0"/>
                      <w:divBdr>
                        <w:top w:val="none" w:sz="0" w:space="0" w:color="auto"/>
                        <w:left w:val="none" w:sz="0" w:space="0" w:color="auto"/>
                        <w:bottom w:val="none" w:sz="0" w:space="0" w:color="auto"/>
                        <w:right w:val="none" w:sz="0" w:space="0" w:color="auto"/>
                      </w:divBdr>
                      <w:divsChild>
                        <w:div w:id="644359519">
                          <w:marLeft w:val="0"/>
                          <w:marRight w:val="0"/>
                          <w:marTop w:val="0"/>
                          <w:marBottom w:val="0"/>
                          <w:divBdr>
                            <w:top w:val="none" w:sz="0" w:space="0" w:color="auto"/>
                            <w:left w:val="none" w:sz="0" w:space="0" w:color="auto"/>
                            <w:bottom w:val="none" w:sz="0" w:space="0" w:color="auto"/>
                            <w:right w:val="none" w:sz="0" w:space="0" w:color="auto"/>
                          </w:divBdr>
                          <w:divsChild>
                            <w:div w:id="786311185">
                              <w:marLeft w:val="0"/>
                              <w:marRight w:val="0"/>
                              <w:marTop w:val="120"/>
                              <w:marBottom w:val="360"/>
                              <w:divBdr>
                                <w:top w:val="none" w:sz="0" w:space="0" w:color="auto"/>
                                <w:left w:val="none" w:sz="0" w:space="0" w:color="auto"/>
                                <w:bottom w:val="none" w:sz="0" w:space="0" w:color="auto"/>
                                <w:right w:val="none" w:sz="0" w:space="0" w:color="auto"/>
                              </w:divBdr>
                              <w:divsChild>
                                <w:div w:id="1459837389">
                                  <w:marLeft w:val="280"/>
                                  <w:marRight w:val="0"/>
                                  <w:marTop w:val="0"/>
                                  <w:marBottom w:val="0"/>
                                  <w:divBdr>
                                    <w:top w:val="none" w:sz="0" w:space="0" w:color="auto"/>
                                    <w:left w:val="none" w:sz="0" w:space="0" w:color="auto"/>
                                    <w:bottom w:val="none" w:sz="0" w:space="0" w:color="auto"/>
                                    <w:right w:val="none" w:sz="0" w:space="0" w:color="auto"/>
                                  </w:divBdr>
                                  <w:divsChild>
                                    <w:div w:id="79541422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g"/><Relationship Id="rId10" Type="http://schemas.openxmlformats.org/officeDocument/2006/relationships/hyperlink" Target="http://www.ncbi.nlm.nih.gov/pubmed/2050327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1384</Words>
  <Characters>7617</Characters>
  <Application>Microsoft Macintosh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Olaia</dc:creator>
  <cp:lastModifiedBy>Eduardo Perez-Yarza</cp:lastModifiedBy>
  <cp:revision>3</cp:revision>
  <dcterms:created xsi:type="dcterms:W3CDTF">2014-05-13T17:01:00Z</dcterms:created>
  <dcterms:modified xsi:type="dcterms:W3CDTF">2014-05-13T17:04:00Z</dcterms:modified>
</cp:coreProperties>
</file>